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4.png" ContentType="image/png"/>
  <Override PartName="/word/media/rId45.png" ContentType="image/png"/>
  <Override PartName="/word/media/rId46.png" ContentType="image/png"/>
  <Override PartName="/word/media/rId57.png" ContentType="image/png"/>
  <Override PartName="/word/media/rId59.png" ContentType="image/png"/>
  <Override PartName="/word/media/rId55.png" ContentType="image/png"/>
  <Override PartName="/word/media/rId65.png" ContentType="image/png"/>
  <Override PartName="/word/media/rId71.png" ContentType="image/png"/>
  <Override PartName="/word/media/rId112.png" ContentType="image/png"/>
  <Override PartName="/word/media/rId113.png" ContentType="image/png"/>
  <Override PartName="/word/media/rId122.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Prediction,</w:t>
      </w:r>
      <w:r>
        <w:t xml:space="preserve"> </w:t>
      </w:r>
      <w:r>
        <w:t xml:space="preserve">Control,</w:t>
      </w:r>
      <w:r>
        <w:t xml:space="preserve"> </w:t>
      </w:r>
      <w:r>
        <w:t xml:space="preserve">and</w:t>
      </w:r>
      <w:r>
        <w:t xml:space="preserve"> </w:t>
      </w:r>
      <w:r>
        <w:t xml:space="preserve">the</w:t>
      </w:r>
      <w:r>
        <w:t xml:space="preserve"> </w:t>
      </w:r>
      <w:r>
        <w:t xml:space="preserve">Regulating</w:t>
      </w:r>
      <w:r>
        <w:t xml:space="preserve"> </w:t>
      </w:r>
      <w:r>
        <w:t xml:space="preserve">Mind</w:t>
      </w:r>
    </w:p>
    <w:p>
      <w:pPr>
        <w:pStyle w:val="Subtitle"/>
      </w:pPr>
      <w:r>
        <w:t xml:space="preserve">A</w:t>
      </w:r>
      <w:r>
        <w:t xml:space="preserve"> </w:t>
      </w:r>
      <w:r>
        <w:t xml:space="preserve">Clinician’s</w:t>
      </w:r>
      <w:r>
        <w:t xml:space="preserve"> </w:t>
      </w:r>
      <w:r>
        <w:t xml:space="preserve">Framework</w:t>
      </w:r>
      <w:r>
        <w:t xml:space="preserve"> </w:t>
      </w:r>
      <w:r>
        <w:t xml:space="preserve">for</w:t>
      </w:r>
      <w:r>
        <w:t xml:space="preserve"> </w:t>
      </w:r>
      <w:r>
        <w:t xml:space="preserve">Autism,</w:t>
      </w:r>
      <w:r>
        <w:t xml:space="preserve"> </w:t>
      </w:r>
      <w:r>
        <w:t xml:space="preserve">Stimming,</w:t>
      </w:r>
      <w:r>
        <w:t xml:space="preserve"> </w:t>
      </w:r>
      <w:r>
        <w:t xml:space="preserve">and</w:t>
      </w:r>
      <w:r>
        <w:t xml:space="preserve"> </w:t>
      </w:r>
      <w:r>
        <w:t xml:space="preserve">Emotional</w:t>
      </w:r>
      <w:r>
        <w:t xml:space="preserve"> </w:t>
      </w:r>
      <w:r>
        <w:t xml:space="preserve">Regulation</w:t>
      </w:r>
    </w:p>
    <w:p>
      <w:pPr>
        <w:pStyle w:val="Author"/>
      </w:pPr>
      <w:r>
        <w:t xml:space="preserve">Dr. Greg</w:t>
      </w:r>
      <w:r>
        <w:t xml:space="preserve"> </w:t>
      </w:r>
      <w:r>
        <w:t xml:space="preserve">Moody</w:t>
      </w:r>
    </w:p>
    <w:p>
      <w:pPr>
        <w:pStyle w:val="Date"/>
      </w:pPr>
      <w:r>
        <w:t xml:space="preserve">August</w:t>
      </w:r>
      <w:r>
        <w:t xml:space="preserve"> </w:t>
      </w:r>
      <w:r>
        <w:t xml:space="preserve">13,</w:t>
      </w:r>
      <w:r>
        <w:t xml:space="preserve"> </w:t>
      </w:r>
      <w:r>
        <w:t xml:space="preserve">2026</w:t>
      </w:r>
    </w:p>
    <w:p>
      <w:r>
        <w:br w:type="page"/>
      </w:r>
    </w:p>
    <w:p>
      <w:pPr>
        <w:pStyle w:val="Heading1"/>
      </w:pPr>
      <w:bookmarkStart w:id="20" w:name="contents"/>
      <w:r>
        <w:t xml:space="preserve">Contents</w:t>
      </w:r>
      <w:bookmarkEnd w:id="20"/>
    </w:p>
    <w:p>
      <w:pPr>
        <w:pStyle w:val="FirstParagraph"/>
      </w:pPr>
      <w:r>
        <w:rPr>
          <w:b/>
        </w:rPr>
        <w:t xml:space="preserve">Preface: what this is, and how to read it</w:t>
      </w:r>
    </w:p>
    <w:p>
      <w:pPr>
        <w:pStyle w:val="BodyText"/>
      </w:pPr>
      <w:r>
        <w:t xml:space="preserve">Two ideas that should have met</w:t>
      </w:r>
      <w:r>
        <w:br/>
      </w:r>
      <w:r>
        <w:t xml:space="preserve">Why I wrote it for clinicians</w:t>
      </w:r>
      <w:r>
        <w:br/>
      </w:r>
      <w:r>
        <w:t xml:space="preserve">What this is not</w:t>
      </w:r>
      <w:r>
        <w:br/>
      </w:r>
      <w:r>
        <w:t xml:space="preserve">How it’s organized</w:t>
      </w:r>
      <w:r>
        <w:br/>
      </w:r>
      <w:r>
        <w:t xml:space="preserve">A note on language</w:t>
      </w:r>
      <w:r>
        <w:br/>
      </w:r>
      <w:r>
        <w:rPr>
          <w:b/>
        </w:rPr>
        <w:t xml:space="preserve">1. Autism, Stimming, and the Regulating Mind</w:t>
      </w:r>
    </w:p>
    <w:p>
      <w:pPr>
        <w:pStyle w:val="BodyText"/>
      </w:pPr>
      <w:r>
        <w:t xml:space="preserve">1.1 Autism, summarily and accurately</w:t>
      </w:r>
      <w:r>
        <w:br/>
      </w:r>
      <w:r>
        <w:t xml:space="preserve">1.2 What stimming is</w:t>
      </w:r>
      <w:r>
        <w:br/>
      </w:r>
      <w:r>
        <w:t xml:space="preserve">1.3 First-person accounts</w:t>
      </w:r>
      <w:r>
        <w:br/>
      </w:r>
      <w:r>
        <w:t xml:space="preserve">1.4 Why this section matters for what follows</w:t>
      </w:r>
      <w:r>
        <w:br/>
      </w:r>
      <w:r>
        <w:rPr>
          <w:b/>
        </w:rPr>
        <w:t xml:space="preserve">2. The Mind as a Control System</w:t>
      </w:r>
    </w:p>
    <w:p>
      <w:pPr>
        <w:pStyle w:val="BodyText"/>
      </w:pPr>
      <w:r>
        <w:t xml:space="preserve">2.1 The thermostat</w:t>
      </w:r>
      <w:r>
        <w:br/>
      </w:r>
      <w:r>
        <w:t xml:space="preserve">2.2 Biological control</w:t>
      </w:r>
      <w:r>
        <w:br/>
      </w:r>
      <w:r>
        <w:t xml:space="preserve">2.3 The claim that emotions are error signals</w:t>
      </w:r>
      <w:r>
        <w:br/>
      </w:r>
      <w:r>
        <w:t xml:space="preserve">2.3a Then what is happiness?</w:t>
      </w:r>
      <w:r>
        <w:br/>
      </w:r>
      <w:r>
        <w:t xml:space="preserve">2.4 The real intellectual lineage: credit where due</w:t>
      </w:r>
      <w:r>
        <w:br/>
      </w:r>
      <w:r>
        <w:t xml:space="preserve">2.5 Problems with the control model</w:t>
      </w:r>
      <w:r>
        <w:br/>
      </w:r>
      <w:r>
        <w:rPr>
          <w:b/>
        </w:rPr>
        <w:t xml:space="preserve">3. The Mind as a Prediction Machine</w:t>
      </w:r>
    </w:p>
    <w:p>
      <w:pPr>
        <w:pStyle w:val="BodyText"/>
      </w:pPr>
      <w:r>
        <w:t xml:space="preserve">3.1 Perception as inference</w:t>
      </w:r>
      <w:r>
        <w:br/>
      </w:r>
      <w:r>
        <w:t xml:space="preserve">3.2 Prediction error</w:t>
      </w:r>
      <w:r>
        <w:br/>
      </w:r>
      <w:r>
        <w:t xml:space="preserve">3.3 Precision: the concept the whole document turns on</w:t>
      </w:r>
      <w:r>
        <w:br/>
      </w:r>
      <w:r>
        <w:t xml:space="preserve">3.4 Active inference and the body</w:t>
      </w:r>
      <w:r>
        <w:br/>
      </w:r>
      <w:r>
        <w:t xml:space="preserve">3.5 The clinical versions</w:t>
      </w:r>
      <w:r>
        <w:br/>
      </w:r>
      <w:r>
        <w:t xml:space="preserve">3.6 Problems with the predictive model</w:t>
      </w:r>
      <w:r>
        <w:br/>
      </w:r>
      <w:r>
        <w:rPr>
          <w:b/>
        </w:rPr>
        <w:t xml:space="preserve">4. Combining the models: a learning theory of emotional regulation</w:t>
      </w:r>
    </w:p>
    <w:p>
      <w:pPr>
        <w:pStyle w:val="BodyText"/>
      </w:pPr>
      <w:r>
        <w:t xml:space="preserve">4.1 The join</w:t>
      </w:r>
      <w:r>
        <w:br/>
      </w:r>
      <w:r>
        <w:t xml:space="preserve">4.2 Two gains, and which is which</w:t>
      </w:r>
      <w:r>
        <w:br/>
      </w:r>
      <w:r>
        <w:t xml:space="preserve">4.3 Where emotion sits</w:t>
      </w:r>
      <w:r>
        <w:br/>
      </w:r>
      <w:r>
        <w:t xml:space="preserve">4.4 A learning theory of regulation</w:t>
      </w:r>
      <w:r>
        <w:br/>
      </w:r>
      <w:r>
        <w:t xml:space="preserve">4.5 What oscillation does and doesn’t tell you</w:t>
      </w:r>
      <w:r>
        <w:br/>
      </w:r>
      <w:r>
        <w:t xml:space="preserve">4.6 The phase-locking idea</w:t>
      </w:r>
      <w:r>
        <w:br/>
      </w:r>
      <w:r>
        <w:t xml:space="preserve">4.6a What this architecture commits us to</w:t>
      </w:r>
      <w:r>
        <w:br/>
      </w:r>
      <w:r>
        <w:t xml:space="preserve">4.7 What kind of claim this is</w:t>
      </w:r>
      <w:r>
        <w:br/>
      </w:r>
      <w:r>
        <w:rPr>
          <w:b/>
        </w:rPr>
        <w:t xml:space="preserve">5. Autism under the combined model: what fits, and what would refute it</w:t>
      </w:r>
    </w:p>
    <w:p>
      <w:pPr>
        <w:pStyle w:val="BodyText"/>
      </w:pPr>
      <w:r>
        <w:t xml:space="preserve">5.1 Mapping the autistic phenotype onto the parameters</w:t>
      </w:r>
      <w:r>
        <w:br/>
      </w:r>
      <w:r>
        <w:t xml:space="preserve">5.2 The existing evidence that already fits</w:t>
      </w:r>
      <w:r>
        <w:br/>
      </w:r>
      <w:r>
        <w:t xml:space="preserve">5.3 Treatments that fit the model</w:t>
      </w:r>
      <w:r>
        <w:br/>
      </w:r>
      <w:r>
        <w:t xml:space="preserve">5.4 What would refute the model</w:t>
      </w:r>
      <w:r>
        <w:br/>
      </w:r>
      <w:r>
        <w:t xml:space="preserve">5.5 The honest status</w:t>
      </w:r>
      <w:r>
        <w:br/>
      </w:r>
      <w:r>
        <w:t xml:space="preserve">A note on applied behavior analysis</w:t>
      </w:r>
      <w:r>
        <w:br/>
      </w:r>
      <w:r>
        <w:rPr>
          <w:b/>
        </w:rPr>
        <w:t xml:space="preserve">6. What this means for everyday practice: prediction, gain, and the maladaptive thought</w:t>
      </w:r>
    </w:p>
    <w:p>
      <w:pPr>
        <w:pStyle w:val="BodyText"/>
      </w:pPr>
      <w:r>
        <w:t xml:space="preserve">6.1 The model I teach, and the same model drawn as a loop</w:t>
      </w:r>
      <w:r>
        <w:br/>
      </w:r>
      <w:r>
        <w:t xml:space="preserve">6.2 Does the assessment do both jobs?</w:t>
      </w:r>
      <w:r>
        <w:br/>
      </w:r>
      <w:r>
        <w:t xml:space="preserve">6.3 The chain, developed carefully</w:t>
      </w:r>
      <w:r>
        <w:br/>
      </w:r>
      <w:r>
        <w:t xml:space="preserve">6.4 Where this agrees with what CBT already knows, and what it adds on top</w:t>
      </w:r>
      <w:r>
        <w:br/>
      </w:r>
      <w:r>
        <w:t xml:space="preserve">6.5 The two dials, clinically</w:t>
      </w:r>
      <w:r>
        <w:br/>
      </w:r>
      <w:r>
        <w:t xml:space="preserve">6.6 Rumination, worry and compulsions as oscillation</w:t>
      </w:r>
      <w:r>
        <w:br/>
      </w:r>
      <w:r>
        <w:t xml:space="preserve">6.7 Explaining the model TO clients</w:t>
      </w:r>
      <w:r>
        <w:br/>
      </w:r>
      <w:r>
        <w:t xml:space="preserve">6.8 Autistic clients specifically</w:t>
      </w:r>
      <w:r>
        <w:br/>
      </w:r>
      <w:r>
        <w:t xml:space="preserve">6.9 What this does NOT license</w:t>
      </w:r>
      <w:r>
        <w:br/>
      </w:r>
      <w:r>
        <w:rPr>
          <w:b/>
        </w:rPr>
        <w:t xml:space="preserve">7. Conclusions and applications</w:t>
      </w:r>
    </w:p>
    <w:p>
      <w:pPr>
        <w:pStyle w:val="BodyText"/>
      </w:pPr>
      <w:r>
        <w:t xml:space="preserve">7.1 The claim, on one page</w:t>
      </w:r>
      <w:r>
        <w:br/>
      </w:r>
      <w:r>
        <w:t xml:space="preserve">7.2 Four questions this hands you</w:t>
      </w:r>
      <w:r>
        <w:br/>
      </w:r>
      <w:r>
        <w:t xml:space="preserve">7.3 Where it applies</w:t>
      </w:r>
      <w:r>
        <w:br/>
      </w:r>
      <w:r>
        <w:t xml:space="preserve">7.4 The limits</w:t>
      </w:r>
      <w:r>
        <w:br/>
      </w:r>
      <w:r>
        <w:rPr>
          <w:b/>
        </w:rPr>
        <w:t xml:space="preserve">8. Where this all falls apart</w:t>
      </w:r>
    </w:p>
    <w:p>
      <w:pPr>
        <w:pStyle w:val="BodyText"/>
      </w:pPr>
      <w:r>
        <w:t xml:space="preserve">8.1 The flexibility problem</w:t>
      </w:r>
      <w:r>
        <w:br/>
      </w:r>
      <w:r>
        <w:t xml:space="preserve">8.2 The identifiability problem doesn’t go away</w:t>
      </w:r>
      <w:r>
        <w:br/>
      </w:r>
      <w:r>
        <w:t xml:space="preserve">8.3 The autism evidence is reinterpretation, not prediction</w:t>
      </w:r>
      <w:r>
        <w:br/>
      </w:r>
      <w:r>
        <w:t xml:space="preserve">8.4 The separation may not be real</w:t>
      </w:r>
      <w:r>
        <w:br/>
      </w:r>
      <w:r>
        <w:t xml:space="preserve">8.5 It has almost nothing to say about meaning</w:t>
      </w:r>
      <w:r>
        <w:br/>
      </w:r>
      <w:r>
        <w:t xml:space="preserve">8.6 The autism application risks re-pathologizing</w:t>
      </w:r>
      <w:r>
        <w:br/>
      </w:r>
      <w:r>
        <w:t xml:space="preserve">8.7 Several load-bearing sources are weak</w:t>
      </w:r>
      <w:r>
        <w:br/>
      </w:r>
      <w:r>
        <w:t xml:space="preserve">8.8 Nobody has tested any of it</w:t>
      </w:r>
      <w:r>
        <w:br/>
      </w:r>
      <w:r>
        <w:rPr>
          <w:b/>
        </w:rPr>
        <w:t xml:space="preserve">9. Where do we go from here</w:t>
      </w:r>
    </w:p>
    <w:p>
      <w:pPr>
        <w:pStyle w:val="BodyText"/>
      </w:pPr>
      <w:r>
        <w:t xml:space="preserve">9.1 Six studies</w:t>
      </w:r>
      <w:r>
        <w:br/>
      </w:r>
      <w:r>
        <w:t xml:space="preserve">9.2 What would have to be true first</w:t>
      </w:r>
      <w:r>
        <w:br/>
      </w:r>
      <w:r>
        <w:t xml:space="preserve">9.3 What’s worth doing now</w:t>
      </w:r>
      <w:r>
        <w:br/>
      </w:r>
      <w:r>
        <w:t xml:space="preserve">9.4 A closing note</w:t>
      </w:r>
      <w:r>
        <w:br/>
      </w:r>
      <w:r>
        <w:rPr>
          <w:b/>
        </w:rPr>
        <w:t xml:space="preserve">Appendix A. How this differs from</w:t>
      </w:r>
      <w:r>
        <w:rPr>
          <w:b/>
        </w:rPr>
        <w:t xml:space="preserve"> </w:t>
      </w:r>
      <w:r>
        <w:rPr>
          <w:i/>
          <w:b/>
        </w:rPr>
        <w:t xml:space="preserve">Psycho-Cybernetics</w:t>
      </w:r>
    </w:p>
    <w:p>
      <w:pPr>
        <w:pStyle w:val="BodyText"/>
      </w:pPr>
      <w:r>
        <w:t xml:space="preserve">The twenty-one days</w:t>
      </w:r>
      <w:r>
        <w:br/>
      </w:r>
      <w:r>
        <w:rPr>
          <w:b/>
        </w:rPr>
        <w:t xml:space="preserve">References</w:t>
      </w:r>
    </w:p>
    <w:p>
      <w:r>
        <w:br w:type="page"/>
      </w:r>
    </w:p>
    <w:p>
      <w:pPr>
        <w:pStyle w:val="Heading1"/>
      </w:pPr>
      <w:bookmarkStart w:id="21" w:name="preface-what-this-is-and-how-to-read-it"/>
      <w:r>
        <w:t xml:space="preserve">Preface: what this is, and how to read it</w:t>
      </w:r>
      <w:bookmarkEnd w:id="21"/>
    </w:p>
    <w:p>
      <w:pPr>
        <w:pStyle w:val="Heading2"/>
      </w:pPr>
      <w:bookmarkStart w:id="22" w:name="two-ideas-that-should-have-met"/>
      <w:r>
        <w:t xml:space="preserve">Two ideas that should have met</w:t>
      </w:r>
      <w:bookmarkEnd w:id="22"/>
    </w:p>
    <w:p>
      <w:pPr>
        <w:pStyle w:val="FirstParagraph"/>
      </w:pPr>
      <w:r>
        <w:t xml:space="preserve">Before I was a licensed psychotherapist, I built things that had to hold together in the air. Guidance, navigation, control. Feedback loops with an estimate on one end and a correction on the other, and a very short list of ways they can fail.</w:t>
      </w:r>
    </w:p>
    <w:p>
      <w:pPr>
        <w:pStyle w:val="BodyText"/>
      </w:pPr>
      <w:r>
        <w:t xml:space="preserve">Then I spent the next stretch of my life in rooms with people, and eventually noticed that psychology has been circling the same mathematics for fifty years without ever quite picking it up.</w:t>
      </w:r>
    </w:p>
    <w:p>
      <w:pPr>
        <w:pStyle w:val="BodyText"/>
      </w:pPr>
      <w:r>
        <w:t xml:space="preserve">Two accounts of the mind matter here. They developed in parallel. They almost never cite each other.</w:t>
      </w:r>
    </w:p>
    <w:p>
      <w:pPr>
        <w:pStyle w:val="BodyText"/>
      </w:pPr>
      <w:r>
        <w:t xml:space="preserve">The first says the mind is a control system. It has targets, it senses how far it is from them, and it acts to close the gap. Emotions are error signals on that account. Hunger is what being below a set point feels like from the inside. Fear is what it feels like to have estimated more danger than you’re built to tolerate. Behavior is what the system does to drag the world back into line.</w:t>
      </w:r>
    </w:p>
    <w:p>
      <w:pPr>
        <w:pStyle w:val="BodyText"/>
      </w:pPr>
      <w:r>
        <w:t xml:space="preserve">The second says the mind is a prediction machine. It doesn’t receive the world so much as guess at it, continuously, correcting the guess only where the evidence insists. Perception is inference. What reaches you is a reconstruction, weighted by how much the system currently trusts its senses against its own expectations.</w:t>
      </w:r>
    </w:p>
    <w:p>
      <w:pPr>
        <w:pStyle w:val="BodyText"/>
      </w:pPr>
      <w:r>
        <w:t xml:space="preserve">Both are well developed. Both have clinical applications. Neither one is complete, and the shape of what each is missing is the other one.</w:t>
      </w:r>
    </w:p>
    <w:p>
      <w:pPr>
        <w:pStyle w:val="BodyText"/>
      </w:pPr>
      <w:r>
        <w:t xml:space="preserve">The control account has a hole where its sensor should be. Real biological systems can’t simply read the variable they regulate. Plasma osmolality is not thirst. A racing heart is not danger. The system has to infer.</w:t>
      </w:r>
    </w:p>
    <w:p>
      <w:pPr>
        <w:pStyle w:val="BodyText"/>
      </w:pPr>
      <w:r>
        <w:t xml:space="preserve">The prediction account has a hole where its purpose should be. It explains beautifully how an estimate gets built, and says much less about why the organism cares or how hard it acts once it knows.</w:t>
      </w:r>
    </w:p>
    <w:p>
      <w:pPr>
        <w:pStyle w:val="BodyText"/>
      </w:pPr>
      <w:r>
        <w:t xml:space="preserve">Put them together and you get a control loop with an inference engine bolted to the front of it. That system has two dials, not one.</w:t>
      </w:r>
    </w:p>
    <w:p>
      <w:pPr>
        <w:pStyle w:val="BodyText"/>
      </w:pPr>
      <w:r>
        <w:t xml:space="preserve">The first governs how much your senses move your estimate of the situation.</w:t>
      </w:r>
    </w:p>
    <w:p>
      <w:pPr>
        <w:pStyle w:val="BodyText"/>
      </w:pPr>
      <w:r>
        <w:t xml:space="preserve">The second governs how hard you act on the gap between that estimate and where you want to be.</w:t>
      </w:r>
    </w:p>
    <w:p>
      <w:pPr>
        <w:pStyle w:val="BodyText"/>
      </w:pPr>
      <w:r>
        <w:t xml:space="preserve">They’re set separately. They’re learned separately. And in a room with a person in it they look almost identical while requiring opposite interventions.</w:t>
      </w:r>
    </w:p>
    <w:p>
      <w:pPr>
        <w:pStyle w:val="Heading2"/>
      </w:pPr>
      <w:bookmarkStart w:id="23" w:name="why-i-wrote-it-for-clinicians"/>
      <w:r>
        <w:t xml:space="preserve">Why I wrote it for clinicians</w:t>
      </w:r>
      <w:bookmarkEnd w:id="23"/>
    </w:p>
    <w:p>
      <w:pPr>
        <w:pStyle w:val="FirstParagraph"/>
      </w:pPr>
      <w:r>
        <w:t xml:space="preserve">Start with what this is not, because it changes how you read everything after it.</w:t>
      </w:r>
    </w:p>
    <w:p>
      <w:pPr>
        <w:pStyle w:val="BodyText"/>
      </w:pPr>
      <w:r>
        <w:rPr>
          <w:b/>
        </w:rPr>
        <w:t xml:space="preserve">This is not an alternative to cognitive behavioral therapy.</w:t>
      </w:r>
      <w:r>
        <w:t xml:space="preserve"> </w:t>
      </w:r>
      <w:r>
        <w:t xml:space="preserve">CBT has decades of outcome data behind it. A control-theoretic account of its mechanism has none. Nothing in this document asks you to stop doing what you’re doing, do it differently, or add a technique to your week.</w:t>
      </w:r>
    </w:p>
    <w:p>
      <w:pPr>
        <w:pStyle w:val="BodyText"/>
      </w:pPr>
      <w:r>
        <w:t xml:space="preserve">What it offers is a layer underneath. CBT says to test the thought, and CBT is right. But</w:t>
      </w:r>
      <w:r>
        <w:t xml:space="preserve"> </w:t>
      </w:r>
      <w:r>
        <w:t xml:space="preserve">“</w:t>
      </w:r>
      <w:r>
        <w:t xml:space="preserve">test the thought</w:t>
      </w:r>
      <w:r>
        <w:t xml:space="preserve">”</w:t>
      </w:r>
      <w:r>
        <w:t xml:space="preserve"> </w:t>
      </w:r>
      <w:r>
        <w:t xml:space="preserve">covers at least three mechanically different situations, and nothing in the standard model separates them for you.</w:t>
      </w:r>
    </w:p>
    <w:p>
      <w:pPr>
        <w:pStyle w:val="BodyText"/>
      </w:pPr>
      <w:r>
        <w:t xml:space="preserve">The belief can be inaccurate.</w:t>
      </w:r>
    </w:p>
    <w:p>
      <w:pPr>
        <w:pStyle w:val="BodyText"/>
      </w:pPr>
      <w:r>
        <w:t xml:space="preserve">The belief can be accurate and acted on with four times the force the situation calls for.</w:t>
      </w:r>
    </w:p>
    <w:p>
      <w:pPr>
        <w:pStyle w:val="BodyText"/>
      </w:pPr>
      <w:r>
        <w:t xml:space="preserve">The belief can be roughly right and held with certainty it hasn’t earned.</w:t>
      </w:r>
    </w:p>
    <w:p>
      <w:pPr>
        <w:pStyle w:val="BodyText"/>
      </w:pPr>
      <w:r>
        <w:t xml:space="preserve">Three problems. Three levers. CBT already contains all three, which is most of why it works: cognitive restructuring, arousal and distress-tolerance work, behavioral experiments. What the standard model doesn’t supply is a mechanical read on which lever you’re reaching for and why it lands when it lands.</w:t>
      </w:r>
    </w:p>
    <w:p>
      <w:pPr>
        <w:pStyle w:val="BodyText"/>
      </w:pPr>
      <w:r>
        <w:t xml:space="preserve">That’s the contribution, and it’s deliberately narrow. Not a replacement. A diagnostic layer for choosing among tools you already have.</w:t>
      </w:r>
    </w:p>
    <w:p>
      <w:pPr>
        <w:pStyle w:val="BodyText"/>
      </w:pPr>
      <w:r>
        <w:t xml:space="preserve">None of it requires the underlying theory to be settled. It requires that you have two questions available where the field has mostly handed you one.</w:t>
      </w:r>
    </w:p>
    <w:p>
      <w:pPr>
        <w:pStyle w:val="Heading2"/>
      </w:pPr>
      <w:bookmarkStart w:id="24" w:name="what-this-is-not"/>
      <w:r>
        <w:t xml:space="preserve">What this is not</w:t>
      </w:r>
      <w:bookmarkEnd w:id="24"/>
    </w:p>
    <w:p>
      <w:pPr>
        <w:pStyle w:val="FirstParagraph"/>
      </w:pPr>
      <w:r>
        <w:t xml:space="preserve">It’s not a treatment manual, and there’s no outcome evidence behind any of it. Nobody has tested whether thinking in these terms helps a single client. The autism application rests on reinterpreting data that was collected to answer other questions, which is legitimate and which is weaker than predicting a result before you see it. Several of the sources carrying real weight here are preprints or self-published work, and I flag that every time it happens.</w:t>
      </w:r>
    </w:p>
    <w:p>
      <w:pPr>
        <w:pStyle w:val="BodyText"/>
      </w:pPr>
      <w:r>
        <w:t xml:space="preserve">It’s also not an endorsement of the predictive-processing literature as it currently stands. A companion review of that literature found the evidence considerably thinner than the citation counts suggest. The largest synthesis of Bayesian accounts of autism, 83 studies, reports that a slight majority find no group difference at all (Angeletos Chrysaitis &amp; Seriès, 2023); the second largest, 47 studies, reaches the opposite conclusion (Cannon, O’Brien, Bungert &amp; Sinha, 2021). The flagship computational finding failed a preregistered test using the identical model (Plank et al., 2026). The mismatch negativity, described everywhere as the neural signature of aberrant prediction error, pools to a near-null effect that reverses direction between children and adults (Schwartz, Shinn-Cunningham &amp; Tager-Flusberg, 2018; Sapey-Triomphe et al., 2025).</w:t>
      </w:r>
    </w:p>
    <w:p>
      <w:pPr>
        <w:pStyle w:val="BodyText"/>
      </w:pPr>
      <w:r>
        <w:t xml:space="preserve">I carried that assessment forward into this document. The framework gets treated as a source of useful questions. NOT as established mechanism.</w:t>
      </w:r>
    </w:p>
    <w:p>
      <w:pPr>
        <w:pStyle w:val="BodyText"/>
      </w:pPr>
      <w:r>
        <w:t xml:space="preserve">Section 8 is nothing but the ways this proposal fails, and it isn’t a courtesy section. If you’re inclined to adopt any of this, read Section 8 before you read the sections making the case.</w:t>
      </w:r>
    </w:p>
    <w:p>
      <w:pPr>
        <w:pStyle w:val="Heading2"/>
      </w:pPr>
      <w:bookmarkStart w:id="25" w:name="how-its-organized"/>
      <w:r>
        <w:t xml:space="preserve">How it’s organized</w:t>
      </w:r>
      <w:bookmarkEnd w:id="25"/>
    </w:p>
    <w:p>
      <w:pPr>
        <w:pStyle w:val="FirstParagraph"/>
      </w:pPr>
      <w:r>
        <w:t xml:space="preserve">Section 1 covers autism and stimming, and gives real space to published first-person accounts of autistic inner experience. Every quotation is real, sourced and attributed. Nothing in there is composed or composited.</w:t>
      </w:r>
    </w:p>
    <w:p>
      <w:pPr>
        <w:pStyle w:val="BodyText"/>
      </w:pPr>
      <w:r>
        <w:t xml:space="preserve">Sections 2 and 3 lay out the two frameworks, each written for a clinician with no background in control engineering or Bayesian inference, and each ending with a full accounting of its problems.</w:t>
      </w:r>
    </w:p>
    <w:p>
      <w:pPr>
        <w:pStyle w:val="BodyText"/>
      </w:pPr>
      <w:r>
        <w:t xml:space="preserve">Section 4 combines them and builds the learning theory of regulation that follows, which is the claim that your regulatory parameters are themselves learned from the statistics of the environment you actually lived in.</w:t>
      </w:r>
    </w:p>
    <w:p>
      <w:pPr>
        <w:pStyle w:val="BodyText"/>
      </w:pPr>
      <w:r>
        <w:t xml:space="preserve">Section 5 applies the combined model to autism, maps it against real treatment evidence, and specifies what results would refute it.</w:t>
      </w:r>
    </w:p>
    <w:p>
      <w:pPr>
        <w:pStyle w:val="BodyText"/>
      </w:pPr>
      <w:r>
        <w:t xml:space="preserve">Section 6 is the one most clinicians will use. It runs the chain from learning history through priors and prediction to the reinforced maladaptive belief, and marks where this agrees with what cognitive behavioral therapy already knows and where it reframes it.</w:t>
      </w:r>
    </w:p>
    <w:p>
      <w:pPr>
        <w:pStyle w:val="BodyText"/>
      </w:pPr>
      <w:r>
        <w:t xml:space="preserve">Sections 7 through 9 give the conclusions, the failure modes, and the research that would settle any of this.</w:t>
      </w:r>
    </w:p>
    <w:p>
      <w:pPr>
        <w:pStyle w:val="Heading2"/>
      </w:pPr>
      <w:bookmarkStart w:id="26" w:name="a-note-on-language"/>
      <w:r>
        <w:t xml:space="preserve">A note on language</w:t>
      </w:r>
      <w:bookmarkEnd w:id="26"/>
    </w:p>
    <w:p>
      <w:pPr>
        <w:pStyle w:val="FirstParagraph"/>
      </w:pPr>
      <w:r>
        <w:t xml:space="preserve">Identity-first language throughout.</w:t>
      </w:r>
      <w:r>
        <w:t xml:space="preserve"> </w:t>
      </w:r>
      <w:r>
        <w:t xml:space="preserve">“</w:t>
      </w:r>
      <w:r>
        <w:t xml:space="preserve">Autistic person,</w:t>
      </w:r>
      <w:r>
        <w:t xml:space="preserve">”</w:t>
      </w:r>
      <w:r>
        <w:t xml:space="preserve"> </w:t>
      </w:r>
      <w:r>
        <w:t xml:space="preserve">not</w:t>
      </w:r>
      <w:r>
        <w:t xml:space="preserve"> </w:t>
      </w:r>
      <w:r>
        <w:t xml:space="preserve">“</w:t>
      </w:r>
      <w:r>
        <w:t xml:space="preserve">person with autism,</w:t>
      </w:r>
      <w:r>
        <w:t xml:space="preserve">”</w:t>
      </w:r>
      <w:r>
        <w:t xml:space="preserve"> </w:t>
      </w:r>
      <w:r>
        <w:t xml:space="preserve">following the stated preference of most autistic adults, while acknowledging that preference isn’t universal.</w:t>
      </w:r>
    </w:p>
    <w:p>
      <w:pPr>
        <w:pStyle w:val="BodyText"/>
      </w:pPr>
      <w:r>
        <w:t xml:space="preserve">Every citation was verified against the publisher record before it went in. Where a source couldn’t be verified, or where the evidence is contested, weak, or has failed to replicate, the text says so at the point of the claim. Not in a footnote where nobody looks.</w:t>
      </w:r>
    </w:p>
    <w:p>
      <w:r>
        <w:br w:type="page"/>
      </w:r>
    </w:p>
    <w:p>
      <w:pPr>
        <w:pStyle w:val="Heading1"/>
      </w:pPr>
      <w:bookmarkStart w:id="27" w:name="autism-stimming-and-the-regulating-mind"/>
      <w:r>
        <w:t xml:space="preserve">1. Autism, Stimming, and the Regulating Mind</w:t>
      </w:r>
      <w:bookmarkEnd w:id="27"/>
    </w:p>
    <w:p>
      <w:pPr>
        <w:pStyle w:val="Heading2"/>
      </w:pPr>
      <w:bookmarkStart w:id="28" w:name="autism-summarily-and-accurately"/>
      <w:r>
        <w:t xml:space="preserve">1.1 Autism, summarily and accurately</w:t>
      </w:r>
      <w:bookmarkEnd w:id="28"/>
    </w:p>
    <w:p>
      <w:pPr>
        <w:pStyle w:val="FirstParagraph"/>
      </w:pPr>
      <w:r>
        <w:t xml:space="preserve">Start with the criteria, because two items inside them do more clinical work than their placement suggests.</w:t>
      </w:r>
    </w:p>
    <w:p>
      <w:pPr>
        <w:pStyle w:val="BodyText"/>
      </w:pPr>
      <w:r>
        <w:t xml:space="preserve">Autism is diagnosed in the DSM-5-TR on two criteria (American Psychiatric Association, 2022). Criterion A requires persistent differences in social communication and interaction across contexts (social-emotional reciprocity, nonverbal communicative behavior, and developing and maintaining relationships), with all three present. Criterion B requires at least two of four kinds of restricted, repetitive behavior: stereotyped or repetitive motor movements, speech, or use of objects; insistence on sameness and inflexible adherence to routines; highly restricted, fixated interests of abnormal intensity or focus; and hyper- or hyporeactivity to sensory input, or unusual interest in sensory aspects of the environment. Features must be present from the early developmental period, cause clinically significant impairment, and not be better explained by intellectual disability or global developmental delay.</w:t>
      </w:r>
    </w:p>
    <w:p>
      <w:pPr>
        <w:pStyle w:val="BodyText"/>
      </w:pPr>
      <w:r>
        <w:t xml:space="preserve">Now the two items. Sensory difference sits inside the repetitive-behavior criterion rather than standing on its own, which means a clinician can meet criteria without ever asking a sensory question directly. And hyporeactivity is named right alongside hyperreactivity. Autistic people aren’t uniformly turned up too loud. Some report being turned down, and some report both at once in different channels.</w:t>
      </w:r>
    </w:p>
    <w:p>
      <w:pPr>
        <w:pStyle w:val="BodyText"/>
      </w:pPr>
      <w:r>
        <w:t xml:space="preserve">The most recent US prevalence estimate comes from the Autism and Developmental Disabilities Monitoring Network for surveillance year 2022. Across 16 sites, autism was identified in 32.2 per 1,000 children aged 8 years, about 1 in 31. Site estimates ran from 9.7 per 1,000 in Laredo, Texas, to 53.1 in California. Prevalence was 3.4 times higher among boys (49.2) than girls (14.3). Of those with cognitive data, 39.6% were classified as having an intellectual disability. Median age of earliest known diagnosis was 47 months (Shaw et al., 2025).</w:t>
      </w:r>
    </w:p>
    <w:p>
      <w:pPr>
        <w:pStyle w:val="BodyText"/>
      </w:pPr>
      <w:r>
        <w:t xml:space="preserve">Read that fivefold spread across sites as a statement about identification systems, not biology. ADDM counts children identified in records, and records track local services, awareness, and access at least as closely as they track any underlying rate.</w:t>
      </w:r>
    </w:p>
    <w:p>
      <w:pPr>
        <w:pStyle w:val="BodyText"/>
      </w:pPr>
      <w:r>
        <w:t xml:space="preserve">There is no equivalent surveillance for adults. That’s a problem, because adults are who most of us actually see. Diagnosis in adulthood is common and the pathway to it is unreliable: a scoping review found substantial inconsistency in instruments, thresholds, and clinician confidence (Huang et al., 2020). Lai and Baron-Cohen (2015) named the population well, a lost generation who grew up before broad recognition, many of them carrying other diagnoses for years first. In practice, the autistic client in front of you is quite likely to have arrived through a decade of anxiety treatment, an eating-disorder service, a personality-disorder label, or a burnout that finally made the pattern legible.</w:t>
      </w:r>
    </w:p>
    <w:p>
      <w:pPr>
        <w:pStyle w:val="BodyText"/>
      </w:pPr>
      <w:r>
        <w:t xml:space="preserve">The framing has shifted, and the shift lands in the treatment plan. Autism research has moved, unevenly, from a deficit model toward a neurodevelopmental-difference model, in which much of the disability is located in the mismatch between person and environment (Pellicano &amp; den Houting, 2022). The consequence is concrete. Under a deficit model, the target of intervention is the person’s behavior. Under a difference model, the target is the fit: environment, demands, supports, and the person’s own regulatory strategies. Same assessment, two different plans.</w:t>
      </w:r>
    </w:p>
    <w:p>
      <w:pPr>
        <w:pStyle w:val="BodyText"/>
      </w:pPr>
      <w:r>
        <w:t xml:space="preserve">Heterogeneity is the rule. Support needs, cognitive profiles, language, sensory patterns, and co-occurring conditions vary widely between autistic people, and within one person across time and context. Any statement beginning</w:t>
      </w:r>
      <w:r>
        <w:t xml:space="preserve"> </w:t>
      </w:r>
      <w:r>
        <w:t xml:space="preserve">“</w:t>
      </w:r>
      <w:r>
        <w:t xml:space="preserve">autistic people are…</w:t>
      </w:r>
      <w:r>
        <w:t xml:space="preserve">”</w:t>
      </w:r>
      <w:r>
        <w:t xml:space="preserve"> </w:t>
      </w:r>
      <w:r>
        <w:t xml:space="preserve">is a hypothesis to check with the person in front of you, not a fact to apply. Milton’s (2012) double empathy problem is the corrective worth carrying into the room: the breakdown in mutual understanding between autistic and non-autistic people runs in both directions, and the clinician is one of the two parties.</w:t>
      </w:r>
    </w:p>
    <w:p>
      <w:pPr>
        <w:pStyle w:val="BodyText"/>
      </w:pPr>
      <w:r>
        <w:t xml:space="preserve">On language: identity-first phrasing (</w:t>
      </w:r>
      <w:r>
        <w:t xml:space="preserve">“</w:t>
      </w:r>
      <w:r>
        <w:t xml:space="preserve">autistic person</w:t>
      </w:r>
      <w:r>
        <w:t xml:space="preserve">”</w:t>
      </w:r>
      <w:r>
        <w:t xml:space="preserve">) is the community-preferred default in UK and much community-led research (Kenny et al., 2016; Botha et al., 2023), and it’s used throughout this document. The preference isn’t universal. A US stakeholder sample found more mixed views (Taboas et al., 2023). Ask your client.</w:t>
      </w:r>
    </w:p>
    <w:p>
      <w:pPr>
        <w:pStyle w:val="BodyText"/>
      </w:pPr>
      <w:r>
        <w:rPr>
          <w:b/>
        </w:rPr>
        <w:t xml:space="preserve">Camouflaging.</w:t>
      </w:r>
      <w:r>
        <w:t xml:space="preserve"> </w:t>
      </w:r>
      <w:r>
        <w:t xml:space="preserve">Many autistic adults, particularly those diagnosed late, spend enormous effort appearing non-autistic. Hull et al. (2017) built the description from 92 autistic adults’ own accounts and separated three components: masking (suppressing autistic behavior), compensation (explicit strategies for managing social demands), and assimilation (fitting in, at cost). The mental-health association isn’t trivial. Camouflaging predicts suicidal thoughts and behaviors over and above autistic traits and other risk factors (Cassidy et al., 2020), and autistic adults describe its impact in consistently negative terms (Bradley et al., 2021). It runs as a response to stigma rather than as a personality trait: camouflaging tracks perceived autism-related stigma and identity threat (Perry et al., 2022), and lower autism acceptance predicts worse depression outcomes (Cage et al., 2018). A client who camouflages well will look less autistic in your room than anywhere else in their life, and will be more exhausted afterward than you can see.</w:t>
      </w:r>
    </w:p>
    <w:p>
      <w:pPr>
        <w:pStyle w:val="BodyText"/>
      </w:pPr>
      <w:r>
        <w:rPr>
          <w:b/>
        </w:rPr>
        <w:t xml:space="preserve">Co-occurrence.</w:t>
      </w:r>
      <w:r>
        <w:t xml:space="preserve"> </w:t>
      </w:r>
      <w:r>
        <w:t xml:space="preserve">Memorize the pooled estimates from 96 studies: ADHD 28%, anxiety disorders 20%, sleep–wake disorders 13%, disruptive/impulse-control/conduct disorders 12%, depressive disorders 11%, obsessive-compulsive disorder 9%, bipolar disorders 5%, schizophrenia-spectrum disorders 4% (Lai et al., 2019). These rest on confirmed clinical diagnoses, so treat them as floors rather than ceilings. Alexithymia, difficulty identifying and describing one’s own emotional states, is present in roughly half of autistic people versus about 5% of non-autistic people (49.9% vs 4.9%; Kinnaird et al., 2019). Common, not universal. Assess it as a feature instead of assuming it as a property of autism, and expect that a client who can’t name a feeling may need interoceptive scaffolding before an emotion-focused intervention will work at all.</w:t>
      </w:r>
    </w:p>
    <w:p>
      <w:pPr>
        <w:pStyle w:val="BodyText"/>
      </w:pPr>
      <w:r>
        <w:rPr>
          <w:b/>
        </w:rPr>
        <w:t xml:space="preserve">Autistic burnout</w:t>
      </w:r>
      <w:r>
        <w:t xml:space="preserve"> </w:t>
      </w:r>
      <w:r>
        <w:t xml:space="preserve">doesn’t appear in any diagnostic manual, and it should. Raymaker et al. (2020) defined it from autistic accounts as a syndrome resulting from chronic life stress and a mismatch of expectations and abilities without adequate support, characterized by pervasive long-term exhaustion, loss of function, and reduced tolerance to stimulus. Later work confirms it as distinct from depression and from occupational burnout (Higgins et al., 2021; Arnold et al., 2023). Treat it as depression and prescribe behavioral activation, and you will make it WORSE.</w:t>
      </w:r>
    </w:p>
    <w:p>
      <w:pPr>
        <w:pStyle w:val="Heading2"/>
      </w:pPr>
      <w:bookmarkStart w:id="29" w:name="what-stimming-is"/>
      <w:r>
        <w:t xml:space="preserve">1.2 What stimming is</w:t>
      </w:r>
      <w:bookmarkEnd w:id="29"/>
    </w:p>
    <w:p>
      <w:pPr>
        <w:pStyle w:val="FirstParagraph"/>
      </w:pPr>
      <w:r>
        <w:t xml:space="preserve">Stimming covers repetitive, usually rhythmic, self-generated activity across every sensory channel. In Kapp et al.’s (2019) interviews and focus groups with 32 autistic adults, participants named hand flapping, finger flicking, hair pulling or pinching, feet flexing, spinning, and playing with a necklace, alongside vocal forms: muttering, grunting, stuttering, whistling, singing. Visual stims (watching moving light, closing the eyes) and tactile stims (pressing, stroking, squeezing) belong in the same family. Many described it as involuntary at onset, though several could bring it under deliberate control.</w:t>
      </w:r>
    </w:p>
    <w:p>
      <w:pPr>
        <w:pStyle w:val="BodyText"/>
      </w:pPr>
      <w:r>
        <w:t xml:space="preserve">It isn’t exclusively autistic. Motor stereotypies occur in non-autistic children with otherwise typical development, and on longitudinal follow-up most still had them years later (Harris et al., 2008). Everyone fidgets, taps, paces, twirls hair. Kapp et al. (2019) flag the continuity with non-autistic fidgeting as a research direction; Jaswal and Akhtar (2019) reach a related point in challenging assumptions about autistic social motivation. What distinguishes autistic stimming is frequency, intensity, form, and, decisively, the social response it draws.</w:t>
      </w:r>
    </w:p>
    <w:p>
      <w:pPr>
        <w:pStyle w:val="BodyText"/>
      </w:pPr>
      <w:r>
        <w:t xml:space="preserve">The term carries a history worth knowing.</w:t>
      </w:r>
      <w:r>
        <w:t xml:space="preserve"> </w:t>
      </w:r>
      <w:r>
        <w:t xml:space="preserve">“</w:t>
      </w:r>
      <w:r>
        <w:t xml:space="preserve">Self-stimulatory behaviour</w:t>
      </w:r>
      <w:r>
        <w:t xml:space="preserve">”</w:t>
      </w:r>
      <w:r>
        <w:t xml:space="preserve"> </w:t>
      </w:r>
      <w:r>
        <w:t xml:space="preserve">entered the literature through behavior-analytic research on autistic children, where it named repetitive behavior that appeared to compete with instruction and learning (Lovaas et al., 1971). The account that followed was perceptual reinforcement: the behavior is maintained by the sensory consequences it produces (Lovaas et al., 1987). That framing was contested at the time on neurobiological grounds (Lewis et al., 1987). The contest changed nothing about its practical legacy. If a behavior is reinforced by its own sensory feedback and competes with learning, the intervention logic points straight at extinction. Generations of autistic children were taught to sit on their hands.</w:t>
      </w:r>
    </w:p>
    <w:p>
      <w:pPr>
        <w:pStyle w:val="BodyText"/>
      </w:pPr>
      <w:r>
        <w:t xml:space="preserve">“</w:t>
      </w:r>
      <w:r>
        <w:t xml:space="preserve">Stimming</w:t>
      </w:r>
      <w:r>
        <w:t xml:space="preserve">”</w:t>
      </w:r>
      <w:r>
        <w:t xml:space="preserve"> </w:t>
      </w:r>
      <w:r>
        <w:t xml:space="preserve">is the community’s reclamation of that term, and the shortening isn’t cosmetic. It drops the pathologizing frame and keeps the descriptive content.</w:t>
      </w:r>
    </w:p>
    <w:p>
      <w:pPr>
        <w:pStyle w:val="BodyText"/>
      </w:pPr>
      <w:r>
        <w:t xml:space="preserve">Two words get used interchangeably for what stimming does, and they aren’t equivalent.</w:t>
      </w:r>
      <w:r>
        <w:t xml:space="preserve"> </w:t>
      </w:r>
      <w:r>
        <w:rPr>
          <w:b/>
        </w:rPr>
        <w:t xml:space="preserve">Self-soothing</w:t>
      </w:r>
      <w:r>
        <w:t xml:space="preserve"> </w:t>
      </w:r>
      <w:r>
        <w:t xml:space="preserve">is an observer’s inference, what the behavior looks like it is for, from outside, in a person who appears distressed.</w:t>
      </w:r>
      <w:r>
        <w:t xml:space="preserve"> </w:t>
      </w:r>
      <w:r>
        <w:rPr>
          <w:b/>
        </w:rPr>
        <w:t xml:space="preserve">Self-regulation</w:t>
      </w:r>
      <w:r>
        <w:t xml:space="preserve"> </w:t>
      </w:r>
      <w:r>
        <w:t xml:space="preserve">is closer to what autistic people report, and broader in a way that matters.</w:t>
      </w:r>
    </w:p>
    <w:p>
      <w:pPr>
        <w:pStyle w:val="BodyText"/>
      </w:pPr>
      <w:r>
        <w:t xml:space="preserve">I’ll own my share of that first one. I spent years describing this behavior with a word nobody had ever tested against what the person doing the behavior reported. The label traveled on how plausible it sounded from across the room.</w:t>
      </w:r>
    </w:p>
    <w:p>
      <w:pPr>
        <w:pStyle w:val="BodyText"/>
      </w:pPr>
      <w:r>
        <w:t xml:space="preserve">Kapp et al. (2019) found stimming responded to intense emotion in both directions: some participants stimmed when anxious or distressed, others when excited or happy. As Rebecca put it:</w:t>
      </w:r>
    </w:p>
    <w:p>
      <w:pPr>
        <w:pStyle w:val="BlockText"/>
      </w:pPr>
      <w:r>
        <w:t xml:space="preserve">“</w:t>
      </w:r>
      <w:r>
        <w:t xml:space="preserve">[s]timming is just a release of any high emotion, so really anxious, really agitated, really happy, really excited, just any high emotion, that’s when I stim.</w:t>
      </w:r>
      <w:r>
        <w:t xml:space="preserve">”</w:t>
      </w:r>
    </w:p>
    <w:p>
      <w:pPr>
        <w:pStyle w:val="FirstParagraph"/>
      </w:pPr>
      <w:r>
        <w:t xml:space="preserve">The valence varied across participants. The</w:t>
      </w:r>
      <w:r>
        <w:t xml:space="preserve"> </w:t>
      </w:r>
      <w:r>
        <w:rPr>
          <w:i/>
        </w:rPr>
        <w:t xml:space="preserve">potency</w:t>
      </w:r>
      <w:r>
        <w:t xml:space="preserve"> </w:t>
      </w:r>
      <w:r>
        <w:t xml:space="preserve">of the state was the consistent trigger. Two participants described happy hand flapping as hands open and arms out, unlike the tighter, closer movement of distress: same behavior, different topography by valence. Sinead’s account of childhood spinning isn’t a description of soothing at all:</w:t>
      </w:r>
    </w:p>
    <w:p>
      <w:pPr>
        <w:pStyle w:val="BlockText"/>
      </w:pPr>
      <w:r>
        <w:t xml:space="preserve">“</w:t>
      </w:r>
      <w:r>
        <w:t xml:space="preserve">I remember as a child spinning all the time and loving spinning and loving swinging and feeling that movement all the time, but then I also realised that there was a point where it wasn’t acceptable to be spinning anymore … so it actually still feels glorious if there’s nobody around and I can skip or I can spin and it’s like I’m breaking the rules.</w:t>
      </w:r>
      <w:r>
        <w:t xml:space="preserve">”</w:t>
      </w:r>
    </w:p>
    <w:p>
      <w:pPr>
        <w:pStyle w:val="FirstParagraph"/>
      </w:pPr>
      <w:r>
        <w:t xml:space="preserve">A behavior that occurs as reliably in pleasure as in distress is doing something other than soothing. It’s regulating: bringing an aroused system back toward a workable range, from whichever side it departed. That distinction is the hinge for EVERYTHING in the rest of this document.</w:t>
      </w:r>
    </w:p>
    <w:p>
      <w:pPr>
        <w:pStyle w:val="Heading2"/>
      </w:pPr>
      <w:bookmarkStart w:id="30" w:name="first-person-accounts"/>
      <w:r>
        <w:t xml:space="preserve">1.3 First-person accounts</w:t>
      </w:r>
      <w:bookmarkEnd w:id="30"/>
    </w:p>
    <w:p>
      <w:pPr>
        <w:pStyle w:val="FirstParagraph"/>
      </w:pPr>
      <w:r>
        <w:t xml:space="preserve">What follows is drawn entirely from published qualitative research and quoted verbatim. Where the source anonymized participants, that anonymization is preserved. Nothing here is composed or paraphrased into quotation marks. Longer-form first-person writing by autistic authors sits alongside this work, and Grandin (2009) on visual thinking and sensory difference is the most-cited example.</w:t>
      </w:r>
    </w:p>
    <w:p>
      <w:pPr>
        <w:pStyle w:val="Heading3"/>
      </w:pPr>
      <w:bookmarkStart w:id="31" w:name="the-environment-as-load"/>
      <w:r>
        <w:t xml:space="preserve">The environment as load</w:t>
      </w:r>
      <w:bookmarkEnd w:id="31"/>
    </w:p>
    <w:p>
      <w:pPr>
        <w:pStyle w:val="FirstParagraph"/>
      </w:pPr>
      <w:r>
        <w:t xml:space="preserve">Kapp et al.’s (2019) participants located the cause of stimming outside themselves more often than inside. Luke, who worked long shifts supporting people described as having</w:t>
      </w:r>
      <w:r>
        <w:t xml:space="preserve"> </w:t>
      </w:r>
      <w:r>
        <w:t xml:space="preserve">“</w:t>
      </w:r>
      <w:r>
        <w:t xml:space="preserve">so-called severe autism,</w:t>
      </w:r>
      <w:r>
        <w:t xml:space="preserve">”</w:t>
      </w:r>
      <w:r>
        <w:t xml:space="preserve"> </w:t>
      </w:r>
      <w:r>
        <w:t xml:space="preserve">described mealtimes:</w:t>
      </w:r>
    </w:p>
    <w:p>
      <w:pPr>
        <w:pStyle w:val="BlockText"/>
      </w:pPr>
      <w:r>
        <w:t xml:space="preserve">“</w:t>
      </w:r>
      <w:r>
        <w:t xml:space="preserve">I need to be looking out for them, but I’ve got lots of sort of taste senses coming in and I’ve got lots of sound stuff, I was like tuning in to conversations or whatever and sort of keeping an eye out in case somebody comes up the stairs wanting their meal now, wanting supporting, whatever.</w:t>
      </w:r>
      <w:r>
        <w:t xml:space="preserve">”</w:t>
      </w:r>
    </w:p>
    <w:p>
      <w:pPr>
        <w:pStyle w:val="FirstParagraph"/>
      </w:pPr>
      <w:r>
        <w:t xml:space="preserve">Note what he’s describing. Not one overwhelming stimulus, but several channels running at once with a social-responsibility monitoring task layered on top. The load is combinatorial. MacLennan et al. (2023) found the same structure in autistic adults’ accounts of public spaces, where a participant described sensory experience as</w:t>
      </w:r>
      <w:r>
        <w:t xml:space="preserve"> </w:t>
      </w:r>
      <w:r>
        <w:t xml:space="preserve">“</w:t>
      </w:r>
      <w:r>
        <w:t xml:space="preserve">a big spider web of things</w:t>
      </w:r>
      <w:r>
        <w:t xml:space="preserve">”</w:t>
      </w:r>
      <w:r>
        <w:t xml:space="preserve"> </w:t>
      </w:r>
      <w:r>
        <w:t xml:space="preserve">rather than as a list of separable triggers.</w:t>
      </w:r>
    </w:p>
    <w:p>
      <w:pPr>
        <w:pStyle w:val="BodyText"/>
      </w:pPr>
      <w:r>
        <w:t xml:space="preserve">Stimming also runs the other direction, not to discharge input but to shut it out. Max, who was</w:t>
      </w:r>
      <w:r>
        <w:t xml:space="preserve"> </w:t>
      </w:r>
      <w:r>
        <w:t xml:space="preserve">“</w:t>
      </w:r>
      <w:r>
        <w:t xml:space="preserve">slightly closing my eyes a fair bit during this interview,</w:t>
      </w:r>
      <w:r>
        <w:t xml:space="preserve">”</w:t>
      </w:r>
      <w:r>
        <w:t xml:space="preserve"> </w:t>
      </w:r>
      <w:r>
        <w:t xml:space="preserve">explained:</w:t>
      </w:r>
    </w:p>
    <w:p>
      <w:pPr>
        <w:pStyle w:val="BlockText"/>
      </w:pPr>
      <w:r>
        <w:t xml:space="preserve">“</w:t>
      </w:r>
      <w:r>
        <w:t xml:space="preserve">The eye close is to cut off additional stimuli so I don’t get tired, or sometimes when I can particularly obsessively focus on the one thing that needs to happen. So contrary to what would appear common sense, I close my eyes quite a few times during dances which I didn’t understand because I needed to have the other person lead me more than trying to see what’s happening.</w:t>
      </w:r>
      <w:r>
        <w:t xml:space="preserve">”</w:t>
      </w:r>
    </w:p>
    <w:p>
      <w:pPr>
        <w:pStyle w:val="FirstParagraph"/>
      </w:pPr>
      <w:r>
        <w:t xml:space="preserve">Rose described the same logic applied to the environment rather than to herself, sitting in her car at lunch for</w:t>
      </w:r>
      <w:r>
        <w:t xml:space="preserve"> </w:t>
      </w:r>
      <w:r>
        <w:t xml:space="preserve">“</w:t>
      </w:r>
      <w:r>
        <w:t xml:space="preserve">peace and quiet</w:t>
      </w:r>
      <w:r>
        <w:t xml:space="preserve">”</w:t>
      </w:r>
      <w:r>
        <w:t xml:space="preserve">:</w:t>
      </w:r>
    </w:p>
    <w:p>
      <w:pPr>
        <w:pStyle w:val="BlockText"/>
      </w:pPr>
      <w:r>
        <w:t xml:space="preserve">“</w:t>
      </w:r>
      <w:r>
        <w:t xml:space="preserve">I’ve got the environment how I want it and my stress, on the whole now, is more self-inflicted, like having an assignment to do.</w:t>
      </w:r>
      <w:r>
        <w:t xml:space="preserve">”</w:t>
      </w:r>
    </w:p>
    <w:p>
      <w:pPr>
        <w:pStyle w:val="Heading3"/>
      </w:pPr>
      <w:bookmarkStart w:id="32" w:name="internal-noise"/>
      <w:r>
        <w:t xml:space="preserve">Internal noise</w:t>
      </w:r>
      <w:bookmarkEnd w:id="32"/>
    </w:p>
    <w:p>
      <w:pPr>
        <w:pStyle w:val="FirstParagraph"/>
      </w:pPr>
      <w:r>
        <w:t xml:space="preserve">Rose’s remark introduces the second source. Kapp et al. (2019) labeled it</w:t>
      </w:r>
      <w:r>
        <w:t xml:space="preserve"> </w:t>
      </w:r>
      <w:r>
        <w:rPr>
          <w:i/>
        </w:rPr>
        <w:t xml:space="preserve">noisy thoughts</w:t>
      </w:r>
      <w:r>
        <w:t xml:space="preserve">, and participants described it as harder to prevent than sensory load, because you can’t leave the room. Luke gave the most mechanically explicit account in the paper, describing rotating his wrist:</w:t>
      </w:r>
    </w:p>
    <w:p>
      <w:pPr>
        <w:pStyle w:val="BlockText"/>
      </w:pPr>
      <w:r>
        <w:t xml:space="preserve">“</w:t>
      </w:r>
      <w:r>
        <w:t xml:space="preserve">it helps you talk to yourself at a rhythmical pace, so when I’m doing this I can sort of think in the rhythm that I’m moving my hand … which is very helpful because it means like when you’ve got your internal monologue it doesn’t all come in at once and you find yourself sort of shouting at yourself in your head to get everything done.</w:t>
      </w:r>
      <w:r>
        <w:t xml:space="preserve">”</w:t>
      </w:r>
    </w:p>
    <w:p>
      <w:pPr>
        <w:pStyle w:val="FirstParagraph"/>
      </w:pPr>
      <w:r>
        <w:t xml:space="preserve">He described the same motion calming the body</w:t>
      </w:r>
      <w:r>
        <w:t xml:space="preserve"> </w:t>
      </w:r>
      <w:r>
        <w:t xml:space="preserve">“</w:t>
      </w:r>
      <w:r>
        <w:t xml:space="preserve">in time with the pendulum</w:t>
      </w:r>
      <w:r>
        <w:t xml:space="preserve">”</w:t>
      </w:r>
      <w:r>
        <w:t xml:space="preserve">:</w:t>
      </w:r>
      <w:r>
        <w:t xml:space="preserve"> </w:t>
      </w:r>
      <w:r>
        <w:t xml:space="preserve">“</w:t>
      </w:r>
      <w:r>
        <w:t xml:space="preserve">it sort of metronomes everything in your body to sort of go at that speed … So it just sort of helps quell everything, because you’re at the same rhythm with everything.</w:t>
      </w:r>
      <w:r>
        <w:t xml:space="preserve">”</w:t>
      </w:r>
    </w:p>
    <w:p>
      <w:pPr>
        <w:pStyle w:val="BodyText"/>
      </w:pPr>
      <w:r>
        <w:t xml:space="preserve">That’s a description of imposing a predictable, self-generated timing signal on a system running too many parallel processes. Hold onto it.</w:t>
      </w:r>
    </w:p>
    <w:p>
      <w:pPr>
        <w:pStyle w:val="Heading3"/>
      </w:pPr>
      <w:bookmarkStart w:id="33" w:name="Xc3e294ca4390714d4268c2eb21ecb188b5b0f70"/>
      <w:r>
        <w:t xml:space="preserve">Stimming as regulation, in both directions</w:t>
      </w:r>
      <w:bookmarkEnd w:id="33"/>
    </w:p>
    <w:p>
      <w:pPr>
        <w:pStyle w:val="FirstParagraph"/>
      </w:pPr>
      <w:r>
        <w:t xml:space="preserve">Rose, who hid her own stims, was clear about function even while suppressing: stimming</w:t>
      </w:r>
      <w:r>
        <w:t xml:space="preserve"> </w:t>
      </w:r>
      <w:r>
        <w:t xml:space="preserve">“</w:t>
      </w:r>
      <w:r>
        <w:t xml:space="preserve">helps me keep me calm … it cuts down what is going on around, it helps me focus,</w:t>
      </w:r>
      <w:r>
        <w:t xml:space="preserve">”</w:t>
      </w:r>
      <w:r>
        <w:t xml:space="preserve"> </w:t>
      </w:r>
      <w:r>
        <w:t xml:space="preserve">and suppressing it made her feel</w:t>
      </w:r>
      <w:r>
        <w:t xml:space="preserve"> </w:t>
      </w:r>
      <w:r>
        <w:t xml:space="preserve">“</w:t>
      </w:r>
      <w:r>
        <w:t xml:space="preserve">just sort of more on edge.</w:t>
      </w:r>
      <w:r>
        <w:t xml:space="preserve">”</w:t>
      </w:r>
    </w:p>
    <w:p>
      <w:pPr>
        <w:pStyle w:val="BodyText"/>
      </w:pPr>
      <w:r>
        <w:t xml:space="preserve">Sally described deliberately adding stims to her repertoire after learning about them online:</w:t>
      </w:r>
    </w:p>
    <w:p>
      <w:pPr>
        <w:pStyle w:val="BlockText"/>
      </w:pPr>
      <w:r>
        <w:t xml:space="preserve">“</w:t>
      </w:r>
      <w:r>
        <w:t xml:space="preserve">And I started kind of incorporating it more in my life, and it actually managed to help me stave off some panic attacks. For example, I never used to wave my hands that much, but I’ve started doing it more and it actually helps, like if I’m in a crowded elevator or something.</w:t>
      </w:r>
      <w:r>
        <w:t xml:space="preserve">”</w:t>
      </w:r>
    </w:p>
    <w:p>
      <w:pPr>
        <w:pStyle w:val="FirstParagraph"/>
      </w:pPr>
      <w:r>
        <w:t xml:space="preserve">Anthony, who had grown up in an accepting environment, stimmed</w:t>
      </w:r>
      <w:r>
        <w:t xml:space="preserve"> </w:t>
      </w:r>
      <w:r>
        <w:t xml:space="preserve">“</w:t>
      </w:r>
      <w:r>
        <w:t xml:space="preserve">as often as I’m excited or anxious</w:t>
      </w:r>
      <w:r>
        <w:t xml:space="preserve">”</w:t>
      </w:r>
      <w:r>
        <w:t xml:space="preserve">, both poles named in one clause. Sinead described a stim that had become communicative: of head-picking,</w:t>
      </w:r>
      <w:r>
        <w:t xml:space="preserve"> </w:t>
      </w:r>
      <w:r>
        <w:t xml:space="preserve">“</w:t>
      </w:r>
      <w:r>
        <w:t xml:space="preserve">my son and husband get really upset if I’m doing that because it means that I’m really emotional and stressed.</w:t>
      </w:r>
      <w:r>
        <w:t xml:space="preserve">”</w:t>
      </w:r>
    </w:p>
    <w:p>
      <w:pPr>
        <w:pStyle w:val="BodyText"/>
      </w:pPr>
      <w:r>
        <w:t xml:space="preserve">Not every stim was experienced as helpful. Max reported pressing his fingers together when anxious for sensory feedback and didn’t find it useful,</w:t>
      </w:r>
      <w:r>
        <w:t xml:space="preserve"> </w:t>
      </w:r>
      <w:r>
        <w:t xml:space="preserve">“</w:t>
      </w:r>
      <w:r>
        <w:t xml:space="preserve">because you can get into a loop and you can start really making your fingers leathery if you’re not careful.</w:t>
      </w:r>
      <w:r>
        <w:t xml:space="preserve">”</w:t>
      </w:r>
      <w:r>
        <w:t xml:space="preserve"> </w:t>
      </w:r>
      <w:r>
        <w:t xml:space="preserve">Kapp et al. (2019) report no participant who disliked their stims as such, and several who disliked specific stims that caused harm.</w:t>
      </w:r>
    </w:p>
    <w:p>
      <w:pPr>
        <w:pStyle w:val="BodyText"/>
      </w:pPr>
      <w:r>
        <w:drawing>
          <wp:inline>
            <wp:extent cx="5334000" cy="2369400"/>
            <wp:effectExtent b="0" l="0" r="0" t="0"/>
            <wp:docPr descr="" title="" id="1" name="Picture"/>
            <a:graphic>
              <a:graphicData uri="http://schemas.openxmlformats.org/drawingml/2006/picture">
                <pic:pic>
                  <pic:nvPicPr>
                    <pic:cNvPr descr="figures/fig-1-1-stim-functions.png" id="0" name="Picture"/>
                    <pic:cNvPicPr>
                      <a:picLocks noChangeArrowheads="1" noChangeAspect="1"/>
                    </pic:cNvPicPr>
                  </pic:nvPicPr>
                  <pic:blipFill>
                    <a:blip r:embed="rId34"/>
                    <a:stretch>
                      <a:fillRect/>
                    </a:stretch>
                  </pic:blipFill>
                  <pic:spPr bwMode="auto">
                    <a:xfrm>
                      <a:off x="0" y="0"/>
                      <a:ext cx="5334000" cy="2369400"/>
                    </a:xfrm>
                    <a:prstGeom prst="rect">
                      <a:avLst/>
                    </a:prstGeom>
                    <a:noFill/>
                    <a:ln w="9525">
                      <a:noFill/>
                      <a:headEnd/>
                      <a:tailEnd/>
                    </a:ln>
                  </pic:spPr>
                </pic:pic>
              </a:graphicData>
            </a:graphic>
          </wp:inline>
        </w:drawing>
      </w:r>
    </w:p>
    <w:p>
      <w:pPr>
        <w:pStyle w:val="BodyText"/>
      </w:pPr>
      <w:r>
        <w:rPr>
          <w:i/>
        </w:rPr>
        <w:t xml:space="preserve">Figure 1.1. Reported functions of stimming from Kapp et al. (2019).</w:t>
      </w:r>
    </w:p>
    <w:p>
      <w:pPr>
        <w:pStyle w:val="Heading3"/>
      </w:pPr>
      <w:bookmarkStart w:id="35" w:name="the-cost-of-suppression"/>
      <w:r>
        <w:t xml:space="preserve">The cost of suppression</w:t>
      </w:r>
      <w:bookmarkEnd w:id="35"/>
    </w:p>
    <w:p>
      <w:pPr>
        <w:pStyle w:val="FirstParagraph"/>
      </w:pPr>
      <w:r>
        <w:t xml:space="preserve">Rose taught her own students to hide it,</w:t>
      </w:r>
      <w:r>
        <w:t xml:space="preserve"> </w:t>
      </w:r>
      <w:r>
        <w:t xml:space="preserve">“</w:t>
      </w:r>
      <w:r>
        <w:t xml:space="preserve">I’d try and get students not to display</w:t>
      </w:r>
      <w:r>
        <w:t xml:space="preserve">”</w:t>
      </w:r>
      <w:r>
        <w:t xml:space="preserve"> </w:t>
      </w:r>
      <w:r>
        <w:t xml:space="preserve">if</w:t>
      </w:r>
      <w:r>
        <w:t xml:space="preserve"> </w:t>
      </w:r>
      <w:r>
        <w:t xml:space="preserve">“</w:t>
      </w:r>
      <w:r>
        <w:t xml:space="preserve">they didn’t want to be seen as different</w:t>
      </w:r>
      <w:r>
        <w:t xml:space="preserve">”</w:t>
      </w:r>
      <w:r>
        <w:t xml:space="preserve">, and was scathing about intervention targeting stimming directly:</w:t>
      </w:r>
    </w:p>
    <w:p>
      <w:pPr>
        <w:pStyle w:val="BlockText"/>
      </w:pPr>
      <w:r>
        <w:t xml:space="preserve">“</w:t>
      </w:r>
      <w:r>
        <w:t xml:space="preserve">to me it was abuse, because stopping those children stimming when they’re trying to calm themselves down or cope with a situation, because even if they manage all the environment around them, there might be situations that they find stressful, and if they haven’t got the ability to calm them down, then they could be relying on other people for the rest of their lives or have a breakdown …</w:t>
      </w:r>
      <w:r>
        <w:t xml:space="preserve">”</w:t>
      </w:r>
    </w:p>
    <w:p>
      <w:pPr>
        <w:pStyle w:val="FirstParagraph"/>
      </w:pPr>
      <w:r>
        <w:t xml:space="preserve">Claire drew the line where most of the sample drew it, at harm:</w:t>
      </w:r>
    </w:p>
    <w:p>
      <w:pPr>
        <w:pStyle w:val="BlockText"/>
      </w:pPr>
      <w:r>
        <w:t xml:space="preserve">“</w:t>
      </w:r>
      <w:r>
        <w:t xml:space="preserve">if it’s harmful to somebody else or it’s annoying to somebody else, but if it’s absolutely got no bearing on another person whatsoever I think people should be allowed to do what they like</w:t>
      </w:r>
      <w:r>
        <w:t xml:space="preserve">”</w:t>
      </w:r>
    </w:p>
    <w:p>
      <w:pPr>
        <w:pStyle w:val="FirstParagraph"/>
      </w:pPr>
      <w:r>
        <w:t xml:space="preserve">Rebecca described family members trying to stop her hand flapping physically and verbally, and being</w:t>
      </w:r>
      <w:r>
        <w:t xml:space="preserve"> </w:t>
      </w:r>
      <w:r>
        <w:t xml:space="preserve">“</w:t>
      </w:r>
      <w:r>
        <w:t xml:space="preserve">[a]ngry that they’ve been told a thousand times why I do it, the reason behind it, that it’s not affecting anyone.</w:t>
      </w:r>
      <w:r>
        <w:t xml:space="preserve">”</w:t>
      </w:r>
      <w:r>
        <w:t xml:space="preserve"> </w:t>
      </w:r>
      <w:r>
        <w:t xml:space="preserve">Clive, told not to stim as an adult, said it made him feel</w:t>
      </w:r>
      <w:r>
        <w:t xml:space="preserve"> </w:t>
      </w:r>
      <w:r>
        <w:t xml:space="preserve">“</w:t>
      </w:r>
      <w:r>
        <w:t xml:space="preserve">belittled,</w:t>
      </w:r>
      <w:r>
        <w:t xml:space="preserve">”</w:t>
      </w:r>
      <w:r>
        <w:t xml:space="preserve"> </w:t>
      </w:r>
      <w:r>
        <w:t xml:space="preserve">as though he were</w:t>
      </w:r>
      <w:r>
        <w:t xml:space="preserve"> </w:t>
      </w:r>
      <w:r>
        <w:t xml:space="preserve">“</w:t>
      </w:r>
      <w:r>
        <w:t xml:space="preserve">five</w:t>
      </w:r>
      <w:r>
        <w:t xml:space="preserve">”</w:t>
      </w:r>
      <w:r>
        <w:t xml:space="preserve">:</w:t>
      </w:r>
      <w:r>
        <w:t xml:space="preserve"> </w:t>
      </w:r>
      <w:r>
        <w:t xml:space="preserve">“</w:t>
      </w:r>
      <w:r>
        <w:t xml:space="preserve">[I]t makes me feel that age again … I shouldn’t feel like I’m in reception class again learning basic things.</w:t>
      </w:r>
      <w:r>
        <w:t xml:space="preserve">”</w:t>
      </w:r>
    </w:p>
    <w:p>
      <w:pPr>
        <w:pStyle w:val="BodyText"/>
      </w:pPr>
      <w:r>
        <w:t xml:space="preserve">Suppression also shows up inside camouflaging. A 20-year-old participant in Hull et al. (2017):</w:t>
      </w:r>
    </w:p>
    <w:p>
      <w:pPr>
        <w:pStyle w:val="BlockText"/>
      </w:pPr>
      <w:r>
        <w:t xml:space="preserve">“</w:t>
      </w:r>
      <w:r>
        <w:t xml:space="preserve">I prevent myself from doing any particularly visible or otherwise noticeable stims: I still find myself doing things like shaking my leg repeatedly without noticing, but don’t make any noises people would think are weird, don’t full-body shake (like with the leg but…all of me), or do any finger movements or tapping etc. that would annoy people.</w:t>
      </w:r>
      <w:r>
        <w:t xml:space="preserve">”</w:t>
      </w:r>
    </w:p>
    <w:p>
      <w:pPr>
        <w:pStyle w:val="Heading3"/>
      </w:pPr>
      <w:bookmarkStart w:id="36" w:name="X992349b04b37305b39d9c25742e45b8f0007730"/>
      <w:r>
        <w:t xml:space="preserve">Social processing as effortful computation</w:t>
      </w:r>
      <w:bookmarkEnd w:id="36"/>
    </w:p>
    <w:p>
      <w:pPr>
        <w:pStyle w:val="FirstParagraph"/>
      </w:pPr>
      <w:r>
        <w:t xml:space="preserve">The camouflaging accounts describe social interaction as something calculated rather than felt. A 49-year-old woman in Hull et al. (2017):</w:t>
      </w:r>
    </w:p>
    <w:p>
      <w:pPr>
        <w:pStyle w:val="BlockText"/>
      </w:pPr>
      <w:r>
        <w:t xml:space="preserve">“</w:t>
      </w:r>
      <w:r>
        <w:t xml:space="preserve">My head will be racing as if I’m interpreting another language. I will be incredibly anxious. It’s like studying for an exam, constantly on edge trying to predict what others will say and do.</w:t>
      </w:r>
      <w:r>
        <w:t xml:space="preserve">”</w:t>
      </w:r>
    </w:p>
    <w:p>
      <w:pPr>
        <w:pStyle w:val="FirstParagraph"/>
      </w:pPr>
      <w:r>
        <w:t xml:space="preserve">A 22-year-old described the architecture of it:</w:t>
      </w:r>
      <w:r>
        <w:t xml:space="preserve"> </w:t>
      </w:r>
      <w:r>
        <w:t xml:space="preserve">“</w:t>
      </w:r>
      <w:r>
        <w:t xml:space="preserve">I camouflage by putting on a character… I treat my clothes rather like costumes… I have a repertoire of roles for: cafe work, bar work, uni, various groups of friends, etc. They are all me at the core, but they are edited versions of me, designed to not stand out for the</w:t>
      </w:r>
      <w:r>
        <w:t xml:space="preserve"> </w:t>
      </w:r>
      <w:r>
        <w:t xml:space="preserve">‘</w:t>
      </w:r>
      <w:r>
        <w:t xml:space="preserve">wrong</w:t>
      </w:r>
      <w:r>
        <w:t xml:space="preserve">’</w:t>
      </w:r>
      <w:r>
        <w:t xml:space="preserve"> </w:t>
      </w:r>
      <w:r>
        <w:t xml:space="preserve">reasons.</w:t>
      </w:r>
      <w:r>
        <w:t xml:space="preserve">”</w:t>
      </w:r>
    </w:p>
    <w:p>
      <w:pPr>
        <w:pStyle w:val="BodyText"/>
      </w:pPr>
      <w:r>
        <w:t xml:space="preserve">The aftermath, from a 30-year-old:</w:t>
      </w:r>
      <w:r>
        <w:t xml:space="preserve"> </w:t>
      </w:r>
      <w:r>
        <w:t xml:space="preserve">“</w:t>
      </w:r>
      <w:r>
        <w:t xml:space="preserve">It’s exhausting! I feel the need to seek solitude so I can</w:t>
      </w:r>
      <w:r>
        <w:t xml:space="preserve"> </w:t>
      </w:r>
      <w:r>
        <w:t xml:space="preserve">‘</w:t>
      </w:r>
      <w:r>
        <w:t xml:space="preserve">be myself</w:t>
      </w:r>
      <w:r>
        <w:t xml:space="preserve">’</w:t>
      </w:r>
      <w:r>
        <w:t xml:space="preserve"> </w:t>
      </w:r>
      <w:r>
        <w:t xml:space="preserve">and not have to think about how I am perceived by others.</w:t>
      </w:r>
      <w:r>
        <w:t xml:space="preserve">”</w:t>
      </w:r>
      <w:r>
        <w:t xml:space="preserve"> </w:t>
      </w:r>
      <w:r>
        <w:t xml:space="preserve">And, from a 22-year-old, the dissociative edge of it:</w:t>
      </w:r>
    </w:p>
    <w:p>
      <w:pPr>
        <w:pStyle w:val="BlockText"/>
      </w:pPr>
      <w:r>
        <w:t xml:space="preserve">“</w:t>
      </w:r>
      <w:r>
        <w:t xml:space="preserve">Sometimes, when I have had to do a lot of camouflaging in a high stress environment, I feel as though I’ve lost track of who I really am, and that my actual self is floating somewhere above me like a balloon.</w:t>
      </w:r>
      <w:r>
        <w:t xml:space="preserve">”</w:t>
      </w:r>
    </w:p>
    <w:p>
      <w:pPr>
        <w:pStyle w:val="FirstParagraph"/>
      </w:pPr>
      <w:r>
        <w:t xml:space="preserve">One account speaks directly to our own consulting rooms. A 28-year-old:</w:t>
      </w:r>
      <w:r>
        <w:t xml:space="preserve"> </w:t>
      </w:r>
      <w:r>
        <w:t xml:space="preserve">“</w:t>
      </w:r>
      <w:r>
        <w:t xml:space="preserve">People need to learn how to drop the camouflage when in situations such as medical assessments or dealing with support professionals otherwise they may be under assessed for support as they appear to be coping.</w:t>
      </w:r>
      <w:r>
        <w:t xml:space="preserve">”</w:t>
      </w:r>
      <w:r>
        <w:t xml:space="preserve"> </w:t>
      </w:r>
      <w:r>
        <w:t xml:space="preserve">Read that as a design requirement for your assessment.</w:t>
      </w:r>
    </w:p>
    <w:p>
      <w:pPr>
        <w:pStyle w:val="Heading3"/>
      </w:pPr>
      <w:bookmarkStart w:id="37" w:name="Xe0619a39c543306bcfab249c51e842ebab7e0b2"/>
      <w:r>
        <w:t xml:space="preserve">Uncertainty and the problem of generalizing</w:t>
      </w:r>
      <w:bookmarkEnd w:id="37"/>
    </w:p>
    <w:p>
      <w:pPr>
        <w:pStyle w:val="FirstParagraph"/>
      </w:pPr>
      <w:r>
        <w:t xml:space="preserve">Todorova et al. (2024) asked autistic adults to respond directly to a predictive account of autism, via questionnaire (18 analyzed) and interview (8). Their descriptions of how experience does and doesn’t transfer across situations are unusually precise. From Questionnaire 2:</w:t>
      </w:r>
    </w:p>
    <w:p>
      <w:pPr>
        <w:pStyle w:val="BlockText"/>
      </w:pPr>
      <w:r>
        <w:t xml:space="preserve">“</w:t>
      </w:r>
      <w:r>
        <w:t xml:space="preserve">–we experience situations that are only marginally different from a previous one, as completely new, because . . . it technically</w:t>
      </w:r>
      <w:r>
        <w:t xml:space="preserve"> </w:t>
      </w:r>
      <w:r>
        <w:rPr>
          <w:i/>
        </w:rPr>
        <w:t xml:space="preserve">is</w:t>
      </w:r>
      <w:r>
        <w:t xml:space="preserve">. Every time I meet a dishwasher, I need help operating it, even though I</w:t>
      </w:r>
      <w:r>
        <w:t xml:space="preserve"> </w:t>
      </w:r>
      <w:r>
        <w:rPr>
          <w:i/>
        </w:rPr>
        <w:t xml:space="preserve">know</w:t>
      </w:r>
      <w:r>
        <w:t xml:space="preserve"> </w:t>
      </w:r>
      <w:r>
        <w:t xml:space="preserve">that a given sequence of actions</w:t>
      </w:r>
      <w:r>
        <w:t xml:space="preserve"> </w:t>
      </w:r>
      <w:r>
        <w:rPr>
          <w:i/>
        </w:rPr>
        <w:t xml:space="preserve">probably</w:t>
      </w:r>
      <w:r>
        <w:t xml:space="preserve"> </w:t>
      </w:r>
      <w:r>
        <w:t xml:space="preserve">means my dishes will be dry at the end.</w:t>
      </w:r>
      <w:r>
        <w:t xml:space="preserve">”</w:t>
      </w:r>
    </w:p>
    <w:p>
      <w:pPr>
        <w:pStyle w:val="FirstParagraph"/>
      </w:pPr>
      <w:r>
        <w:t xml:space="preserve">From Interview 4, the phrase that gave the paper its title:</w:t>
      </w:r>
    </w:p>
    <w:p>
      <w:pPr>
        <w:pStyle w:val="BlockText"/>
      </w:pPr>
      <w:r>
        <w:t xml:space="preserve">“</w:t>
      </w:r>
      <w:r>
        <w:t xml:space="preserve">. . . I am someone that has really . . . from a really young age umm thought a lot about why people are doing what they’re doing and so . . . my social map . . . it looks really nuanced but it’s pixelated.</w:t>
      </w:r>
      <w:r>
        <w:t xml:space="preserve">”</w:t>
      </w:r>
    </w:p>
    <w:p>
      <w:pPr>
        <w:pStyle w:val="FirstParagraph"/>
      </w:pPr>
      <w:r>
        <w:t xml:space="preserve">A model built from very high-resolution instances, with no smoothing between them. Questionnaire 4 described what happens when a single instance gets weighted as though it were the rule:</w:t>
      </w:r>
    </w:p>
    <w:p>
      <w:pPr>
        <w:pStyle w:val="BlockText"/>
      </w:pPr>
      <w:r>
        <w:t xml:space="preserve">“</w:t>
      </w:r>
      <w:r>
        <w:t xml:space="preserve">If I have visited a place that was unexpectedly very hot or cold for the type of place it is . . . I will plan for that occurrence to recur on any future returns to the same place, even if the initial conditions are unlikely to be in effect. Those circumstances will be memorable and I will treat them as probable, forever.</w:t>
      </w:r>
      <w:r>
        <w:t xml:space="preserve">”</w:t>
      </w:r>
    </w:p>
    <w:p>
      <w:pPr>
        <w:pStyle w:val="FirstParagraph"/>
      </w:pPr>
      <w:r>
        <w:t xml:space="preserve">And Questionnaire 9 on what a small violation costs:</w:t>
      </w:r>
    </w:p>
    <w:p>
      <w:pPr>
        <w:pStyle w:val="BlockText"/>
      </w:pPr>
      <w:r>
        <w:t xml:space="preserve">“</w:t>
      </w:r>
      <w:r>
        <w:t xml:space="preserve">When something does disrupt my routine, it depends on what it is. If I can ignore it or if it’s a very slight disruption it’s alright. If it’s something I see as bigger, then I usually shut off until I’ve gotten over it. Like one morning my light didn’t work, which objectively is not a big deal, but it made me very anxious because that is THE first thing I do in the morning so I ended up getting out of bed much later because it made me very anxious.</w:t>
      </w:r>
      <w:r>
        <w:t xml:space="preserve">”</w:t>
      </w:r>
    </w:p>
    <w:p>
      <w:pPr>
        <w:pStyle w:val="FirstParagraph"/>
      </w:pPr>
      <w:r>
        <w:t xml:space="preserve">Predictability, once established, changes everything. Questionnaire 18:</w:t>
      </w:r>
      <w:r>
        <w:t xml:space="preserve"> </w:t>
      </w:r>
      <w:r>
        <w:t xml:space="preserve">“</w:t>
      </w:r>
      <w:r>
        <w:t xml:space="preserve">with friends, I know them enough to not be surprised by any chance in circumstance, and I will never be caught off guard in a social situation.</w:t>
      </w:r>
      <w:r>
        <w:t xml:space="preserve">”</w:t>
      </w:r>
      <w:r>
        <w:t xml:space="preserve"> </w:t>
      </w:r>
      <w:r>
        <w:t xml:space="preserve">Questionnaire 3 on why computer games work:</w:t>
      </w:r>
      <w:r>
        <w:t xml:space="preserve"> </w:t>
      </w:r>
      <w:r>
        <w:t xml:space="preserve">“</w:t>
      </w:r>
      <w:r>
        <w:t xml:space="preserve">Computer games – they are very controllable and generally predictable. Even the unpredictable elements tend to follow a design philosophy that is recognisable after playing so many games.</w:t>
      </w:r>
      <w:r>
        <w:t xml:space="preserve">”</w:t>
      </w:r>
    </w:p>
    <w:p>
      <w:pPr>
        <w:pStyle w:val="Heading3"/>
      </w:pPr>
      <w:bookmarkStart w:id="38" w:name="interoception"/>
      <w:r>
        <w:t xml:space="preserve">Interoception</w:t>
      </w:r>
      <w:bookmarkEnd w:id="38"/>
    </w:p>
    <w:p>
      <w:pPr>
        <w:pStyle w:val="FirstParagraph"/>
      </w:pPr>
      <w:r>
        <w:t xml:space="preserve">Adams et al. (2025) interviewed autistic adolescents about interoception and anxiety and found awareness distributed across the range rather than uniformly heightened. Tealswan sits at the hyperaware end:</w:t>
      </w:r>
      <w:r>
        <w:t xml:space="preserve"> </w:t>
      </w:r>
      <w:r>
        <w:t xml:space="preserve">“</w:t>
      </w:r>
      <w:r>
        <w:t xml:space="preserve">I am almost constantly aware of my heartrate,</w:t>
      </w:r>
      <w:r>
        <w:t xml:space="preserve">”</w:t>
      </w:r>
      <w:r>
        <w:t xml:space="preserve"> </w:t>
      </w:r>
      <w:r>
        <w:t xml:space="preserve">and:</w:t>
      </w:r>
    </w:p>
    <w:p>
      <w:pPr>
        <w:pStyle w:val="BlockText"/>
      </w:pPr>
      <w:r>
        <w:t xml:space="preserve">“</w:t>
      </w:r>
      <w:r>
        <w:t xml:space="preserve">I could be having a really nice quiet walk which to a lot of people would be super peaceful but because I’m hyperaware of how my heart is beating or how fast I’m breathing or you know every tiny bit of movement I get incredibly over-stimulated.</w:t>
      </w:r>
      <w:r>
        <w:t xml:space="preserve">”</w:t>
      </w:r>
    </w:p>
    <w:p>
      <w:pPr>
        <w:pStyle w:val="FirstParagraph"/>
      </w:pPr>
      <w:r>
        <w:t xml:space="preserve">Greensnake traced the cascade into shutdown:</w:t>
      </w:r>
    </w:p>
    <w:p>
      <w:pPr>
        <w:pStyle w:val="BlockText"/>
      </w:pPr>
      <w:r>
        <w:t xml:space="preserve">“</w:t>
      </w:r>
      <w:r>
        <w:t xml:space="preserve">Like normally the path will be I’ll get anxious about something and then um (.) . . . I’ll go to break and it will be really noisy and that leads to me getting overwhelmed and then I’ll go to another lesson and that’s noisy and that escalates and it’s just like too much and then I become more aware of everything like my heart my breathing and then I’ll like shut down.</w:t>
      </w:r>
      <w:r>
        <w:t xml:space="preserve">”</w:t>
      </w:r>
    </w:p>
    <w:p>
      <w:pPr>
        <w:pStyle w:val="FirstParagraph"/>
      </w:pPr>
      <w:r>
        <w:t xml:space="preserve">Masking cost Greensnake access to their own signals:</w:t>
      </w:r>
      <w:r>
        <w:t xml:space="preserve"> </w:t>
      </w:r>
      <w:r>
        <w:t xml:space="preserve">“</w:t>
      </w:r>
      <w:r>
        <w:t xml:space="preserve">My ability to read myself lessens quite a bit because I’m so focused on other people and their actions and their experiences and I think that’s why I ended up having so many um shutdowns in school . . . I wasn’t reading the signs that I was getting overwhelmed.</w:t>
      </w:r>
      <w:r>
        <w:t xml:space="preserve">”</w:t>
      </w:r>
      <w:r>
        <w:t xml:space="preserve"> </w:t>
      </w:r>
      <w:r>
        <w:t xml:space="preserve">Whiteseal reported the same effect on basic bodily needs:</w:t>
      </w:r>
      <w:r>
        <w:t xml:space="preserve"> </w:t>
      </w:r>
      <w:r>
        <w:t xml:space="preserve">“</w:t>
      </w:r>
      <w:r>
        <w:t xml:space="preserve">When I was masking at school like I wouldn’t really feel hungry or thirsty and stuff and like I often wouldn’t even go to . . . the toilet until I literally got home.</w:t>
      </w:r>
      <w:r>
        <w:t xml:space="preserve">”</w:t>
      </w:r>
    </w:p>
    <w:p>
      <w:pPr>
        <w:pStyle w:val="BodyText"/>
      </w:pPr>
      <w:r>
        <w:t xml:space="preserve">Redduck’s account is the one to sit with, because it explains a difference inside a single body:</w:t>
      </w:r>
    </w:p>
    <w:p>
      <w:pPr>
        <w:pStyle w:val="BlockText"/>
      </w:pPr>
      <w:r>
        <w:t xml:space="preserve">“</w:t>
      </w:r>
      <w:r>
        <w:t xml:space="preserve">Because hunger and thirst or needing the toilet do not have a set order or schedule I often misread them . . . But because heart rate and breathing are consistently there when I do tune into them it is not confusing for me to interpret.</w:t>
      </w:r>
      <w:r>
        <w:t xml:space="preserve">”</w:t>
      </w:r>
    </w:p>
    <w:p>
      <w:pPr>
        <w:pStyle w:val="FirstParagraph"/>
      </w:pPr>
      <w:r>
        <w:t xml:space="preserve">The signal that arrives on a predictable schedule is legible. The one that doesn’t, isn’t. Call that what it is: an inference difference, not a sensitivity difference.</w:t>
      </w:r>
    </w:p>
    <w:p>
      <w:pPr>
        <w:pStyle w:val="Heading3"/>
      </w:pPr>
      <w:bookmarkStart w:id="39" w:name="overwhelm-meltdown-shutdown"/>
      <w:r>
        <w:t xml:space="preserve">Overwhelm, meltdown, shutdown</w:t>
      </w:r>
      <w:bookmarkEnd w:id="39"/>
    </w:p>
    <w:p>
      <w:pPr>
        <w:pStyle w:val="FirstParagraph"/>
      </w:pPr>
      <w:r>
        <w:t xml:space="preserve">Phung et al. (2021) interviewed eight autistic children and young people aged 8–18 about burnout, inertia, meltdown, and shutdown. Their analogies beat most clinical descriptions. From CY 6 on meltdown:</w:t>
      </w:r>
    </w:p>
    <w:p>
      <w:pPr>
        <w:pStyle w:val="BlockText"/>
      </w:pPr>
      <w:r>
        <w:t xml:space="preserve">“</w:t>
      </w:r>
      <w:r>
        <w:t xml:space="preserve">You’re a passenger on a ride of destruction… and it’s like hitting a bunch of stuff.</w:t>
      </w:r>
      <w:r>
        <w:t xml:space="preserve">”</w:t>
      </w:r>
    </w:p>
    <w:p>
      <w:pPr>
        <w:pStyle w:val="FirstParagraph"/>
      </w:pPr>
      <w:r>
        <w:t xml:space="preserve">Passenger, not driver. The bodily accounts match:</w:t>
      </w:r>
      <w:r>
        <w:t xml:space="preserve"> </w:t>
      </w:r>
      <w:r>
        <w:t xml:space="preserve">“</w:t>
      </w:r>
      <w:r>
        <w:t xml:space="preserve">Getting tense muscles and I start to get hot</w:t>
      </w:r>
      <w:r>
        <w:t xml:space="preserve">”</w:t>
      </w:r>
      <w:r>
        <w:t xml:space="preserve"> </w:t>
      </w:r>
      <w:r>
        <w:t xml:space="preserve">(CY 3);</w:t>
      </w:r>
      <w:r>
        <w:t xml:space="preserve"> </w:t>
      </w:r>
      <w:r>
        <w:t xml:space="preserve">“</w:t>
      </w:r>
      <w:r>
        <w:t xml:space="preserve">My sight is a little bit more restricted, like, I’d only really be able to see the room that I’m in and nothing else</w:t>
      </w:r>
      <w:r>
        <w:t xml:space="preserve">”</w:t>
      </w:r>
      <w:r>
        <w:t xml:space="preserve"> </w:t>
      </w:r>
      <w:r>
        <w:t xml:space="preserve">(CY 6). CY 5 on control:</w:t>
      </w:r>
      <w:r>
        <w:t xml:space="preserve"> </w:t>
      </w:r>
      <w:r>
        <w:t xml:space="preserve">“</w:t>
      </w:r>
      <w:r>
        <w:t xml:space="preserve">When I’m in a meltdown it’s not easy to get out of and I’m not in full control, like I’m not thinking clearly.</w:t>
      </w:r>
      <w:r>
        <w:t xml:space="preserve">”</w:t>
      </w:r>
      <w:r>
        <w:t xml:space="preserve"> </w:t>
      </w:r>
      <w:r>
        <w:t xml:space="preserve">And CY 1 on why containment doesn’t work:</w:t>
      </w:r>
    </w:p>
    <w:p>
      <w:pPr>
        <w:pStyle w:val="BlockText"/>
      </w:pPr>
      <w:r>
        <w:t xml:space="preserve">“</w:t>
      </w:r>
      <w:r>
        <w:t xml:space="preserve">What happens when I’m trying to be calm is like, just the stress will just continue building up, that’s usually what happens in anything is like, whenever I try to contain any sort of emotion or anything, it’ll just keep building up, usually with stress or anger it happens the most where it will just keep on.</w:t>
      </w:r>
      <w:r>
        <w:t xml:space="preserve">”</w:t>
      </w:r>
    </w:p>
    <w:p>
      <w:pPr>
        <w:pStyle w:val="FirstParagraph"/>
      </w:pPr>
      <w:r>
        <w:t xml:space="preserve">Shutdown and inertia came in different physical terms. CY 6:</w:t>
      </w:r>
      <w:r>
        <w:t xml:space="preserve"> </w:t>
      </w:r>
      <w:r>
        <w:t xml:space="preserve">“</w:t>
      </w:r>
      <w:r>
        <w:t xml:space="preserve">It kind of feels like my blanket weighs 500 pounds and it’s weighing me down.</w:t>
      </w:r>
      <w:r>
        <w:t xml:space="preserve">”</w:t>
      </w:r>
      <w:r>
        <w:t xml:space="preserve"> </w:t>
      </w:r>
      <w:r>
        <w:t xml:space="preserve">And CY 1 on shutdown:</w:t>
      </w:r>
    </w:p>
    <w:p>
      <w:pPr>
        <w:pStyle w:val="BlockText"/>
      </w:pPr>
      <w:r>
        <w:t xml:space="preserve">“</w:t>
      </w:r>
      <w:r>
        <w:t xml:space="preserve">Shutdown is just, like, usually ’cause of stress, I’ll just completely freeze up, I can’t really talk, I’ll stutter, I’ll like literally freeze up. I’ll sit down or something, I’ll make weird noises that’s basically just the sound of my mind straining to work.</w:t>
      </w:r>
      <w:r>
        <w:t xml:space="preserve">”</w:t>
      </w:r>
    </w:p>
    <w:p>
      <w:pPr>
        <w:pStyle w:val="Heading3"/>
      </w:pPr>
      <w:bookmarkStart w:id="40" w:name="burnout"/>
      <w:r>
        <w:t xml:space="preserve">Burnout</w:t>
      </w:r>
      <w:bookmarkEnd w:id="40"/>
    </w:p>
    <w:p>
      <w:pPr>
        <w:pStyle w:val="FirstParagraph"/>
      </w:pPr>
      <w:r>
        <w:t xml:space="preserve">Raymaker et al. (2020) analyzed interviews with autistic adults together with a small set of public blog posts. One participant:</w:t>
      </w:r>
    </w:p>
    <w:p>
      <w:pPr>
        <w:pStyle w:val="BlockText"/>
      </w:pPr>
      <w:r>
        <w:t xml:space="preserve">“</w:t>
      </w:r>
      <w:r>
        <w:t xml:space="preserve">I’ve had people say to me many times over the years</w:t>
      </w:r>
      <w:r>
        <w:t xml:space="preserve"> </w:t>
      </w:r>
      <w:r>
        <w:t xml:space="preserve">‘</w:t>
      </w:r>
      <w:r>
        <w:t xml:space="preserve">But WHY are you so tired? What have you been doing?</w:t>
      </w:r>
      <w:r>
        <w:t xml:space="preserve">’</w:t>
      </w:r>
      <w:r>
        <w:t xml:space="preserve"> </w:t>
      </w:r>
      <w:r>
        <w:t xml:space="preserve">.…The brutal truth is that for an autistic person simply EXISTING in the world is knackering—never mind trying to hold down a job or have any sort of social life. And many of the standard recommendations for</w:t>
      </w:r>
      <w:r>
        <w:t xml:space="preserve"> </w:t>
      </w:r>
      <w:r>
        <w:t xml:space="preserve">‘</w:t>
      </w:r>
      <w:r>
        <w:t xml:space="preserve">improving mental health</w:t>
      </w:r>
      <w:r>
        <w:t xml:space="preserve">’</w:t>
      </w:r>
      <w:r>
        <w:t xml:space="preserve"> </w:t>
      </w:r>
      <w:r>
        <w:t xml:space="preserve">(such as seeing more people in real life, spending less time on the internet, sitting still and being</w:t>
      </w:r>
      <w:r>
        <w:t xml:space="preserve"> </w:t>
      </w:r>
      <w:r>
        <w:t xml:space="preserve">‘</w:t>
      </w:r>
      <w:r>
        <w:t xml:space="preserve">calm</w:t>
      </w:r>
      <w:r>
        <w:t xml:space="preserve">’</w:t>
      </w:r>
      <w:r>
        <w:t xml:space="preserve">) simply make matters worse.…We need a LOT of downtime in order to recover from what, for most folk, are the ordinary things of life.</w:t>
      </w:r>
      <w:r>
        <w:t xml:space="preserve">”</w:t>
      </w:r>
    </w:p>
    <w:p>
      <w:pPr>
        <w:pStyle w:val="FirstParagraph"/>
      </w:pPr>
      <w:r>
        <w:t xml:space="preserve">Read the middle of that quote as a clinical warning. Behavioral activation, social prescribing, and relaxation training are all named there as things that made it worse.</w:t>
      </w:r>
    </w:p>
    <w:p>
      <w:pPr>
        <w:pStyle w:val="BodyText"/>
      </w:pPr>
      <w:r>
        <w:t xml:space="preserve">On the loss of function:</w:t>
      </w:r>
      <w:r>
        <w:t xml:space="preserve"> </w:t>
      </w:r>
      <w:r>
        <w:t xml:space="preserve">“</w:t>
      </w:r>
      <w:r>
        <w:t xml:space="preserve">the…way I define burnout…is a regression of skills…for me the really, really scary part of burnout is you don’t know whether or not you’re gonna get those skills back to the point you had them where you were before [the burnout].</w:t>
      </w:r>
      <w:r>
        <w:t xml:space="preserve">”</w:t>
      </w:r>
      <w:r>
        <w:t xml:space="preserve"> </w:t>
      </w:r>
      <w:r>
        <w:t xml:space="preserve">On the change in sensory tolerance:</w:t>
      </w:r>
      <w:r>
        <w:t xml:space="preserve"> </w:t>
      </w:r>
      <w:r>
        <w:t xml:space="preserve">“</w:t>
      </w:r>
      <w:r>
        <w:t xml:space="preserve">VERY low sensory tolerance…—many</w:t>
      </w:r>
      <w:r>
        <w:t xml:space="preserve"> </w:t>
      </w:r>
      <w:r>
        <w:t xml:space="preserve">‘</w:t>
      </w:r>
      <w:r>
        <w:t xml:space="preserve">routine</w:t>
      </w:r>
      <w:r>
        <w:t xml:space="preserve">’</w:t>
      </w:r>
      <w:r>
        <w:t xml:space="preserve"> </w:t>
      </w:r>
      <w:r>
        <w:t xml:space="preserve">noises have become quite painful, therefore VERY difficult and taxing to access public spaces, shopping/errands, parks, and social gatherings.</w:t>
      </w:r>
      <w:r>
        <w:t xml:space="preserve">”</w:t>
      </w:r>
    </w:p>
    <w:p>
      <w:pPr>
        <w:pStyle w:val="BodyText"/>
      </w:pPr>
      <w:r>
        <w:t xml:space="preserve">And on the mechanism participants named most often:</w:t>
      </w:r>
    </w:p>
    <w:p>
      <w:pPr>
        <w:pStyle w:val="BlockText"/>
      </w:pPr>
      <w:r>
        <w:t xml:space="preserve">“</w:t>
      </w:r>
      <w:r>
        <w:t xml:space="preserve">The metaphor I use is that long-term camouflaging and masking leaves behind a kind of psychic plaque in the mental and emotional arteries. Like the buildup of physical plaque over time can result in heart attack or stroke, the buildup of this psychic plaque over time can result in burnout.</w:t>
      </w:r>
      <w:r>
        <w:t xml:space="preserve">”</w:t>
      </w:r>
    </w:p>
    <w:p>
      <w:pPr>
        <w:pStyle w:val="Heading3"/>
      </w:pPr>
      <w:bookmarkStart w:id="41" w:name="focus-immersion-and-inertia"/>
      <w:r>
        <w:t xml:space="preserve">Focus, immersion, and inertia</w:t>
      </w:r>
      <w:bookmarkEnd w:id="41"/>
    </w:p>
    <w:p>
      <w:pPr>
        <w:pStyle w:val="FirstParagraph"/>
      </w:pPr>
      <w:r>
        <w:t xml:space="preserve">The other pole of autistic attention is deep, sustained absorption. Buckle et al. (2021) interviewed 32 autistic adults about starting, stopping, and switching tasks. Ruth on the shape of the problem:</w:t>
      </w:r>
    </w:p>
    <w:p>
      <w:pPr>
        <w:pStyle w:val="BlockText"/>
      </w:pPr>
      <w:r>
        <w:t xml:space="preserve">“</w:t>
      </w:r>
      <w:r>
        <w:t xml:space="preserve">I can’t get to the point where I’ll go to do the thing because it’s almost like I got to stop whatever I’m doing, whether I’m doing anything or not. Even stopping not doing anything is stopping doing something.</w:t>
      </w:r>
      <w:r>
        <w:t xml:space="preserve">”</w:t>
      </w:r>
    </w:p>
    <w:p>
      <w:pPr>
        <w:pStyle w:val="FirstParagraph"/>
      </w:pPr>
      <w:r>
        <w:t xml:space="preserve">Elizabeth on why interruption is expensive:</w:t>
      </w:r>
      <w:r>
        <w:t xml:space="preserve"> </w:t>
      </w:r>
      <w:r>
        <w:t xml:space="preserve">“</w:t>
      </w:r>
      <w:r>
        <w:t xml:space="preserve">… Like I just can’t get back to the place I was before. So, I can’t get back to the task. And then it’s even worse than it was before. The fear of that happening stops me from starting a new task.</w:t>
      </w:r>
      <w:r>
        <w:t xml:space="preserve">”</w:t>
      </w:r>
    </w:p>
    <w:p>
      <w:pPr>
        <w:pStyle w:val="BodyText"/>
      </w:pPr>
      <w:r>
        <w:t xml:space="preserve">Lisa described how absorption and inertia can look identical from outside:</w:t>
      </w:r>
      <w:r>
        <w:t xml:space="preserve"> </w:t>
      </w:r>
      <w:r>
        <w:t xml:space="preserve">“</w:t>
      </w:r>
      <w:r>
        <w:t xml:space="preserve">Sometimes, I’d be like,</w:t>
      </w:r>
      <w:r>
        <w:t xml:space="preserve"> </w:t>
      </w:r>
      <w:r>
        <w:t xml:space="preserve">‘</w:t>
      </w:r>
      <w:r>
        <w:t xml:space="preserve">Oh, I want to read. Oh, here’s a book.</w:t>
      </w:r>
      <w:r>
        <w:t xml:space="preserve">’</w:t>
      </w:r>
      <w:r>
        <w:t xml:space="preserve"> </w:t>
      </w:r>
      <w:r>
        <w:t xml:space="preserve">And then I’m reading the book. And sometimes, I’d be like,</w:t>
      </w:r>
      <w:r>
        <w:t xml:space="preserve"> </w:t>
      </w:r>
      <w:r>
        <w:t xml:space="preserve">‘</w:t>
      </w:r>
      <w:r>
        <w:t xml:space="preserve">Oh, I want to read.</w:t>
      </w:r>
      <w:r>
        <w:t xml:space="preserve">’</w:t>
      </w:r>
      <w:r>
        <w:t xml:space="preserve"> </w:t>
      </w:r>
      <w:r>
        <w:t xml:space="preserve">And then it’s 3 h later and I haven’t moved.</w:t>
      </w:r>
      <w:r>
        <w:t xml:space="preserve">”</w:t>
      </w:r>
      <w:r>
        <w:t xml:space="preserve"> </w:t>
      </w:r>
      <w:r>
        <w:t xml:space="preserve">And Joel described the state when it works:</w:t>
      </w:r>
    </w:p>
    <w:p>
      <w:pPr>
        <w:pStyle w:val="BlockText"/>
      </w:pPr>
      <w:r>
        <w:t xml:space="preserve">“</w:t>
      </w:r>
      <w:r>
        <w:t xml:space="preserve">I’d like to mention the flipside to all of this when everything goes right. I do everything with extreme capability, and everything is just right, and that other thing that’s nagging, pestering at the back of my mind is not present and it’s like it takes no time.</w:t>
      </w:r>
      <w:r>
        <w:t xml:space="preserve">”</w:t>
      </w:r>
    </w:p>
    <w:p>
      <w:pPr>
        <w:pStyle w:val="FirstParagraph"/>
      </w:pPr>
      <w:r>
        <w:t xml:space="preserve">Lisa also named the strategy participants converged on:</w:t>
      </w:r>
      <w:r>
        <w:t xml:space="preserve"> </w:t>
      </w:r>
      <w:r>
        <w:t xml:space="preserve">“</w:t>
      </w:r>
      <w:r>
        <w:t xml:space="preserve">Routines. Routines help a lot. Anything that I can routinise so that I don’t have to think about it quite so hard helps. And then I can do those things a bit more on autopilot.</w:t>
      </w:r>
      <w:r>
        <w:t xml:space="preserve">”</w:t>
      </w:r>
    </w:p>
    <w:p>
      <w:pPr>
        <w:pStyle w:val="BodyText"/>
      </w:pPr>
      <w:r>
        <w:t xml:space="preserve">Rapaport et al. (2024) examined the same territory as flow. Their 24 autistic adult participants’ accounts matched conceptualizations of flow, hyperfocus, and monotropism; the authors report participants struggling to</w:t>
      </w:r>
      <w:r>
        <w:t xml:space="preserve"> </w:t>
      </w:r>
      <w:r>
        <w:t xml:space="preserve">“</w:t>
      </w:r>
      <w:r>
        <w:t xml:space="preserve">find the balance</w:t>
      </w:r>
      <w:r>
        <w:t xml:space="preserve">”</w:t>
      </w:r>
      <w:r>
        <w:t xml:space="preserve"> </w:t>
      </w:r>
      <w:r>
        <w:t xml:space="preserve">between the joy of immersion and the rest of life, and describe autistic flow as capable of being</w:t>
      </w:r>
      <w:r>
        <w:t xml:space="preserve"> </w:t>
      </w:r>
      <w:r>
        <w:t xml:space="preserve">“</w:t>
      </w:r>
      <w:r>
        <w:t xml:space="preserve">the most amazing feeling in the world.</w:t>
      </w:r>
      <w:r>
        <w:t xml:space="preserve">”</w:t>
      </w:r>
      <w:r>
        <w:t xml:space="preserve"> </w:t>
      </w:r>
      <w:r>
        <w:t xml:space="preserve">That article is paywalled and the quoted phrases here come from the published abstract and community brief rather than the results section.</w:t>
      </w:r>
    </w:p>
    <w:p>
      <w:pPr>
        <w:pStyle w:val="Heading2"/>
      </w:pPr>
      <w:bookmarkStart w:id="42" w:name="X9e60886c0c52857c1f5de5184c1b3402155fce6"/>
      <w:r>
        <w:t xml:space="preserve">1.4 Why this section matters for what follows</w:t>
      </w:r>
      <w:bookmarkEnd w:id="42"/>
    </w:p>
    <w:p>
      <w:pPr>
        <w:pStyle w:val="FirstParagraph"/>
      </w:pPr>
      <w:r>
        <w:t xml:space="preserve">Read across these accounts and the same thing keeps surfacing, and it isn’t sensory intensity.</w:t>
      </w:r>
    </w:p>
    <w:p>
      <w:pPr>
        <w:pStyle w:val="BodyText"/>
      </w:pPr>
      <w:r>
        <w:t xml:space="preserve">Luke doesn’t describe his wrist rotation as making the noise quieter. He describes imposing a rhythm (</w:t>
      </w:r>
      <w:r>
        <w:t xml:space="preserve">“</w:t>
      </w:r>
      <w:r>
        <w:t xml:space="preserve">it sort of metronomes everything in your body</w:t>
      </w:r>
      <w:r>
        <w:t xml:space="preserve">”</w:t>
      </w:r>
      <w:r>
        <w:t xml:space="preserve">) so that his internal monologue</w:t>
      </w:r>
      <w:r>
        <w:t xml:space="preserve"> </w:t>
      </w:r>
      <w:r>
        <w:t xml:space="preserve">“</w:t>
      </w:r>
      <w:r>
        <w:t xml:space="preserve">doesn’t all come in at once.</w:t>
      </w:r>
      <w:r>
        <w:t xml:space="preserve">”</w:t>
      </w:r>
      <w:r>
        <w:t xml:space="preserve"> </w:t>
      </w:r>
      <w:r>
        <w:t xml:space="preserve">Redduck can read a heartbeat and can’t read hunger, and gives the reason: the heartbeat is</w:t>
      </w:r>
      <w:r>
        <w:t xml:space="preserve"> </w:t>
      </w:r>
      <w:r>
        <w:t xml:space="preserve">“</w:t>
      </w:r>
      <w:r>
        <w:t xml:space="preserve">consistently there,</w:t>
      </w:r>
      <w:r>
        <w:t xml:space="preserve">”</w:t>
      </w:r>
      <w:r>
        <w:t xml:space="preserve"> </w:t>
      </w:r>
      <w:r>
        <w:t xml:space="preserve">and hunger has no</w:t>
      </w:r>
      <w:r>
        <w:t xml:space="preserve"> </w:t>
      </w:r>
      <w:r>
        <w:t xml:space="preserve">“</w:t>
      </w:r>
      <w:r>
        <w:t xml:space="preserve">set order or schedule.</w:t>
      </w:r>
      <w:r>
        <w:t xml:space="preserve">”</w:t>
      </w:r>
      <w:r>
        <w:t xml:space="preserve"> </w:t>
      </w:r>
      <w:r>
        <w:t xml:space="preserve">Questionnaire 9’s morning was derailed by a light that failed in a slot where a working light was expected, not by anything loud. Questionnaire 3 chooses computer games because they are</w:t>
      </w:r>
      <w:r>
        <w:t xml:space="preserve"> </w:t>
      </w:r>
      <w:r>
        <w:t xml:space="preserve">“</w:t>
      </w:r>
      <w:r>
        <w:t xml:space="preserve">very controllable and generally predictable.</w:t>
      </w:r>
      <w:r>
        <w:t xml:space="preserve">”</w:t>
      </w:r>
      <w:r>
        <w:t xml:space="preserve"> </w:t>
      </w:r>
      <w:r>
        <w:t xml:space="preserve">Questionnaire 18 is never caught off guard with friends. Buckle’s participants routinise so they don’t</w:t>
      </w:r>
      <w:r>
        <w:t xml:space="preserve"> </w:t>
      </w:r>
      <w:r>
        <w:t xml:space="preserve">“</w:t>
      </w:r>
      <w:r>
        <w:t xml:space="preserve">have to think about it quite so hard.</w:t>
      </w:r>
      <w:r>
        <w:t xml:space="preserve">”</w:t>
      </w:r>
    </w:p>
    <w:p>
      <w:pPr>
        <w:pStyle w:val="BodyText"/>
      </w:pPr>
      <w:r>
        <w:t xml:space="preserve">Different papers, different participants, one recurring complaint. And the complaint isn’t about brightness or volume. The world is too uncertain to model cheaply, and regulating an unmodelled world is expensive.</w:t>
      </w:r>
    </w:p>
    <w:p>
      <w:pPr>
        <w:pStyle w:val="BodyText"/>
      </w:pPr>
      <w:r>
        <w:t xml:space="preserve">Stimming, routine, immersion, and environmental control all show up as ways of buying predictability back, either by generating a signal the person controls completely, or by removing variance from the input. Suppressing those strategies, as Rose, Rebecca, and Clive describe, removes the regulator and leaves the load exactly where it was.</w:t>
      </w:r>
    </w:p>
    <w:p>
      <w:pPr>
        <w:pStyle w:val="BodyText"/>
      </w:pPr>
      <w:r>
        <w:t xml:space="preserve">That’s the thread the rest of this document follows: a regulation-and-prediction account rather than a sensitivity account. It’s a hypothesis these accounts motivate. It isn’t one they prove.</w:t>
      </w:r>
    </w:p>
    <w:p>
      <w:pPr>
        <w:pStyle w:val="BodyText"/>
      </w:pPr>
      <w:r>
        <w:t xml:space="preserve">Where the accounts diverge is worth stating plainly, because a model that erases the divergences is worse than no model. Not everyone reports failure to generalize. Questionnaire 9 in Todorova et al. (2024) said, flatly,</w:t>
      </w:r>
      <w:r>
        <w:t xml:space="preserve"> </w:t>
      </w:r>
      <w:r>
        <w:t xml:space="preserve">“</w:t>
      </w:r>
      <w:r>
        <w:t xml:space="preserve">. . . social situations are often similar for me despite surface differences.</w:t>
      </w:r>
      <w:r>
        <w:t xml:space="preserve">”</w:t>
      </w:r>
      <w:r>
        <w:t xml:space="preserve"> </w:t>
      </w:r>
      <w:r>
        <w:t xml:space="preserve">Kapp et al. (2019) found no participant attributing stimming to</w:t>
      </w:r>
      <w:r>
        <w:t xml:space="preserve"> </w:t>
      </w:r>
      <w:r>
        <w:rPr>
          <w:i/>
        </w:rPr>
        <w:t xml:space="preserve">too little</w:t>
      </w:r>
      <w:r>
        <w:t xml:space="preserve"> </w:t>
      </w:r>
      <w:r>
        <w:t xml:space="preserve">sensory input, but that was 32 UK adults, and DSM-5-TR retains hyporeactivity for good reason while other samples report sensory seeking prominently. Camouflaging isn’t uniformly experienced as harmful. Hull et al.’s (2017) participants also described it as enabling employment, safety, and connection, and any clinical stance that treats unmasking as a straightforward good ignores what it costs some people. Some stims are harmful and their owners say so. And whether the meltdown described by autistic youth (Phung et al., 2021) and the burnout described by autistic adults (Raymaker et al., 2020) share an underlying process has NOT been established.</w:t>
      </w:r>
    </w:p>
    <w:p>
      <w:pPr>
        <w:pStyle w:val="BodyText"/>
      </w:pPr>
      <w:r>
        <w:t xml:space="preserve">Weight the evidence here for what it is: qualitative, from small, self-selected, largely speaking samples, skewed white, educated, UK and North American, and skewed toward people who can describe their inner experience in an interview. Rapaport et al. (2024) name that limitation about their own sample explicitly. Work of this kind establishes that a phenomenon exists and generates hypotheses about its structure. It establishes neither prevalence nor mechanism. What it does establish, and this is why the section is built the way it is, is what autistic people say is happening, in their words, before anyone theorizes about it.</w:t>
      </w:r>
    </w:p>
    <w:p>
      <w:r>
        <w:pict>
          <v:rect style="width:0;height:1.5pt" o:hralign="center" o:hrstd="t" o:hr="t"/>
        </w:pict>
      </w:r>
    </w:p>
    <w:p>
      <w:r>
        <w:br w:type="page"/>
      </w:r>
    </w:p>
    <w:p>
      <w:pPr>
        <w:pStyle w:val="Heading1"/>
      </w:pPr>
      <w:bookmarkStart w:id="43" w:name="the-mind-as-a-control-system"/>
      <w:r>
        <w:t xml:space="preserve">2. The Mind as a Control System</w:t>
      </w:r>
      <w:bookmarkEnd w:id="43"/>
    </w:p>
    <w:p>
      <w:pPr>
        <w:pStyle w:val="Heading2"/>
      </w:pPr>
      <w:bookmarkStart w:id="44" w:name="the-thermostat"/>
      <w:r>
        <w:t xml:space="preserve">2.1 The thermostat</w:t>
      </w:r>
      <w:bookmarkEnd w:id="44"/>
    </w:p>
    <w:p>
      <w:pPr>
        <w:pStyle w:val="FirstParagraph"/>
      </w:pPr>
      <w:r>
        <w:t xml:space="preserve">Before I was a licensed psychotherapist, I was an aerospace engineer. Sensors, set points, feedback, gain, damping, and the ugly things a loop does when you get those wrong: that was my job description for years before it was ever a way of thinking about the person sitting across from me. Nothing in this section is a metaphor I went looking for. This is my first profession, explained to people in my second one.</w:t>
      </w:r>
    </w:p>
    <w:p>
      <w:pPr>
        <w:pStyle w:val="BodyText"/>
      </w:pPr>
      <w:r>
        <w:t xml:space="preserve">Start with the device on the wall of almost every building you’ve ever worked in. It explains more about human behavior than most of what you were taught in graduate school, and it’s worth taking apart slowly, because every idea that follows is already inside it.</w:t>
      </w:r>
    </w:p>
    <w:p>
      <w:pPr>
        <w:pStyle w:val="BodyText"/>
      </w:pPr>
      <w:r>
        <w:t xml:space="preserve">A thermostat has a small piece of metal, or a small electronic component, that responds to the temperature of the air around it. That component is the</w:t>
      </w:r>
      <w:r>
        <w:t xml:space="preserve"> </w:t>
      </w:r>
      <w:r>
        <w:rPr>
          <w:b/>
        </w:rPr>
        <w:t xml:space="preserve">sensor</w:t>
      </w:r>
      <w:r>
        <w:t xml:space="preserve">. It doesn’t know the temperature of the room. It knows its own state, and its own state happens to vary with the temperature of the air touching it. Whatever number the thermostat displays belongs to the thermostat, not to the room. Call that reading the</w:t>
      </w:r>
      <w:r>
        <w:t xml:space="preserve"> </w:t>
      </w:r>
      <w:r>
        <w:rPr>
          <w:b/>
        </w:rPr>
        <w:t xml:space="preserve">perception</w:t>
      </w:r>
      <w:r>
        <w:t xml:space="preserve">.</w:t>
      </w:r>
    </w:p>
    <w:p>
      <w:pPr>
        <w:pStyle w:val="BodyText"/>
      </w:pPr>
      <w:r>
        <w:t xml:space="preserve">The distinction sounds pedantic until you mount the thing above a radiator. Now it reports a warm house on a freezing day and lets the pipes burst while insisting everything is fine. The device isn’t lying. It’s controlling exactly what it can measure, and what it can measure was never the same thing as the state of the world.</w:t>
      </w:r>
    </w:p>
    <w:p>
      <w:pPr>
        <w:pStyle w:val="BodyText"/>
      </w:pPr>
      <w:r>
        <w:t xml:space="preserve">Somebody has set the thermostat to sixty-eight. That number is the</w:t>
      </w:r>
      <w:r>
        <w:t xml:space="preserve"> </w:t>
      </w:r>
      <w:r>
        <w:rPr>
          <w:b/>
        </w:rPr>
        <w:t xml:space="preserve">set point</w:t>
      </w:r>
      <w:r>
        <w:t xml:space="preserve">. It makes no prediction about what the temperature will be and no claim about what the temperature is. It specifies what the temperature OUGHT to be, held internally, and defended.</w:t>
      </w:r>
    </w:p>
    <w:p>
      <w:pPr>
        <w:pStyle w:val="BodyText"/>
      </w:pPr>
      <w:r>
        <w:t xml:space="preserve">Inside the thermostat is a piece of circuitry whose only job is to subtract one number from the other. That’s the</w:t>
      </w:r>
      <w:r>
        <w:t xml:space="preserve"> </w:t>
      </w:r>
      <w:r>
        <w:rPr>
          <w:b/>
        </w:rPr>
        <w:t xml:space="preserve">comparator</w:t>
      </w:r>
      <w:r>
        <w:t xml:space="preserve">, and the number it produces is the</w:t>
      </w:r>
      <w:r>
        <w:t xml:space="preserve"> </w:t>
      </w:r>
      <w:r>
        <w:rPr>
          <w:b/>
        </w:rPr>
        <w:t xml:space="preserve">error signal</w:t>
      </w:r>
      <w:r>
        <w:t xml:space="preserve">. Set point sixty-eight, perception sixty-four, error four degrees, direction too cold. When the perception equals the set point the error is zero and the system does nothing at all. Zero error means the system already has what it’s defending. That’s what rest looks like in a control loop.</w:t>
      </w:r>
    </w:p>
    <w:p>
      <w:pPr>
        <w:pStyle w:val="BodyText"/>
      </w:pPr>
      <w:r>
        <w:t xml:space="preserve">That single relation is the whole of it, and it’s worth setting out on its own:</w:t>
      </w:r>
    </w:p>
    <w:p>
      <w:pPr>
        <w:pStyle w:val="BlockText"/>
      </w:pPr>
      <w:r>
        <w:rPr>
          <w:b/>
        </w:rPr>
        <w:t xml:space="preserve">Error = set point − perception.</w:t>
      </w:r>
      <w:r>
        <w:t xml:space="preserve"> </w:t>
      </w:r>
      <w:r>
        <w:t xml:space="preserve">The system is driven not by the world, and not by its goal, but by the gap between the two.</w:t>
      </w:r>
    </w:p>
    <w:p>
      <w:pPr>
        <w:pStyle w:val="FirstParagraph"/>
      </w:pPr>
      <w:r>
        <w:t xml:space="preserve">The error signal goes to the</w:t>
      </w:r>
      <w:r>
        <w:t xml:space="preserve"> </w:t>
      </w:r>
      <w:r>
        <w:rPr>
          <w:b/>
        </w:rPr>
        <w:t xml:space="preserve">control element</w:t>
      </w:r>
      <w:r>
        <w:t xml:space="preserve">: the furnace, the compressor, the valve. The control element acts on the world in whatever direction shrinks the error. Heat comes on, air warms, the sensor reads higher, the perception rises toward the set point, the error falls toward zero, the furnace shuts off. The loop closes on itself. Nothing in it required the thermostat to know anything about weather, insulation, or the family’s habit of leaving the back door open.</w:t>
      </w:r>
    </w:p>
    <w:p>
      <w:pPr>
        <w:pStyle w:val="BodyText"/>
      </w:pPr>
      <w:r>
        <w:t xml:space="preserve">Which brings us to</w:t>
      </w:r>
      <w:r>
        <w:t xml:space="preserve"> </w:t>
      </w:r>
      <w:r>
        <w:rPr>
          <w:b/>
        </w:rPr>
        <w:t xml:space="preserve">disturbances</w:t>
      </w:r>
      <w:r>
        <w:t xml:space="preserve">. The back door. The January wind. The oven at four hundred degrees. The twelve people who came for dinner. The west-facing window at four in the afternoon. None of these is represented anywhere in the thermostat. It has no model of them and needs none. It notices only that its perception has moved, and it pushes back.</w:t>
      </w:r>
    </w:p>
    <w:p>
      <w:pPr>
        <w:pStyle w:val="BodyText"/>
      </w:pPr>
      <w:r>
        <w:t xml:space="preserve">That property is why control systems are worth a clinician’s attention. A control system produces stable outcomes in an unstable world while knowing nothing about the world. Its behavior is wildly variable, furnace running three minutes today and ninety minutes tomorrow, precisely BECAUSE its perception is being held constant. Variable action in the service of a constant perception is the signature of control, and to an observer who doesn’t know what’s being controlled, it looks like noise.</w:t>
      </w:r>
    </w:p>
    <w:p>
      <w:pPr>
        <w:pStyle w:val="BodyText"/>
      </w:pPr>
      <w:r>
        <w:drawing>
          <wp:inline>
            <wp:extent cx="5334000" cy="2832745"/>
            <wp:effectExtent b="0" l="0" r="0" t="0"/>
            <wp:docPr descr="" title="" id="1" name="Picture"/>
            <a:graphic>
              <a:graphicData uri="http://schemas.openxmlformats.org/drawingml/2006/picture">
                <pic:pic>
                  <pic:nvPicPr>
                    <pic:cNvPr descr="figures/fig-2-1-control-loop.png" id="0" name="Picture"/>
                    <pic:cNvPicPr>
                      <a:picLocks noChangeArrowheads="1" noChangeAspect="1"/>
                    </pic:cNvPicPr>
                  </pic:nvPicPr>
                  <pic:blipFill>
                    <a:blip r:embed="rId45"/>
                    <a:stretch>
                      <a:fillRect/>
                    </a:stretch>
                  </pic:blipFill>
                  <pic:spPr bwMode="auto">
                    <a:xfrm>
                      <a:off x="0" y="0"/>
                      <a:ext cx="5334000" cy="2832745"/>
                    </a:xfrm>
                    <a:prstGeom prst="rect">
                      <a:avLst/>
                    </a:prstGeom>
                    <a:noFill/>
                    <a:ln w="9525">
                      <a:noFill/>
                      <a:headEnd/>
                      <a:tailEnd/>
                    </a:ln>
                  </pic:spPr>
                </pic:pic>
              </a:graphicData>
            </a:graphic>
          </wp:inline>
        </w:drawing>
      </w:r>
    </w:p>
    <w:p>
      <w:pPr>
        <w:pStyle w:val="BodyText"/>
      </w:pPr>
      <w:r>
        <w:rPr>
          <w:i/>
        </w:rPr>
        <w:t xml:space="preserve">Figure 2.1. The basic control loop.</w:t>
      </w:r>
    </w:p>
    <w:p>
      <w:pPr>
        <w:pStyle w:val="BodyText"/>
      </w:pPr>
      <w:r>
        <w:t xml:space="preserve">The vocabulary, in one place:</w:t>
      </w:r>
    </w:p>
    <w:p>
      <w:pPr>
        <w:pStyle w:val="BodyText"/>
      </w:pPr>
      <w:r>
        <w:rPr>
          <w:b/>
        </w:rPr>
        <w:t xml:space="preserve">Sensor.</w:t>
      </w:r>
      <w:r>
        <w:t xml:space="preserve"> </w:t>
      </w:r>
      <w:r>
        <w:t xml:space="preserve">The part that responds to the world. It reports its own state and nothing else.</w:t>
      </w:r>
      <w:r>
        <w:t xml:space="preserve"> </w:t>
      </w:r>
      <w:r>
        <w:rPr>
          <w:b/>
        </w:rPr>
        <w:t xml:space="preserve">Perception.</w:t>
      </w:r>
      <w:r>
        <w:t xml:space="preserve"> </w:t>
      </w:r>
      <w:r>
        <w:t xml:space="preserve">The number the sensor produces. The system’s only access to reality.</w:t>
      </w:r>
      <w:r>
        <w:t xml:space="preserve"> </w:t>
      </w:r>
      <w:r>
        <w:rPr>
          <w:b/>
        </w:rPr>
        <w:t xml:space="preserve">Set point.</w:t>
      </w:r>
      <w:r>
        <w:t xml:space="preserve"> </w:t>
      </w:r>
      <w:r>
        <w:t xml:space="preserve">The value the system is trying to make its perception equal.</w:t>
      </w:r>
      <w:r>
        <w:t xml:space="preserve"> </w:t>
      </w:r>
      <w:r>
        <w:rPr>
          <w:b/>
        </w:rPr>
        <w:t xml:space="preserve">Comparator.</w:t>
      </w:r>
      <w:r>
        <w:t xml:space="preserve"> </w:t>
      </w:r>
      <w:r>
        <w:t xml:space="preserve">The circuit that subtracts one from the other.</w:t>
      </w:r>
      <w:r>
        <w:t xml:space="preserve"> </w:t>
      </w:r>
      <w:r>
        <w:rPr>
          <w:b/>
        </w:rPr>
        <w:t xml:space="preserve">Error.</w:t>
      </w:r>
      <w:r>
        <w:t xml:space="preserve"> </w:t>
      </w:r>
      <w:r>
        <w:t xml:space="preserve">What comes out of that subtraction. It has a size and a direction.</w:t>
      </w:r>
      <w:r>
        <w:t xml:space="preserve"> </w:t>
      </w:r>
      <w:r>
        <w:rPr>
          <w:b/>
        </w:rPr>
        <w:t xml:space="preserve">Control element.</w:t>
      </w:r>
      <w:r>
        <w:t xml:space="preserve"> </w:t>
      </w:r>
      <w:r>
        <w:t xml:space="preserve">The furnace. The part that acts on the world.</w:t>
      </w:r>
      <w:r>
        <w:t xml:space="preserve"> </w:t>
      </w:r>
      <w:r>
        <w:rPr>
          <w:b/>
        </w:rPr>
        <w:t xml:space="preserve">Disturbance.</w:t>
      </w:r>
      <w:r>
        <w:t xml:space="preserve"> </w:t>
      </w:r>
      <w:r>
        <w:t xml:space="preserve">Everything pushing the variable around that the system knows nothing about.</w:t>
      </w:r>
    </w:p>
    <w:p>
      <w:pPr>
        <w:pStyle w:val="BodyText"/>
      </w:pPr>
      <w:r>
        <w:t xml:space="preserve">Three further properties turn that diagram into something that can go wrong in interesting ways.</w:t>
      </w:r>
    </w:p>
    <w:p>
      <w:pPr>
        <w:pStyle w:val="BodyText"/>
      </w:pPr>
      <w:r>
        <w:rPr>
          <w:b/>
        </w:rPr>
        <w:t xml:space="preserve">Gain</w:t>
      </w:r>
      <w:r>
        <w:t xml:space="preserve"> </w:t>
      </w:r>
      <w:r>
        <w:t xml:space="preserve">is how hard the system corrects for a given amount of error. A high-gain thermostat answers a one-degree deficit by running the furnace flat out. A low-gain thermostat answers the same deficit with a trickle of warm air. Gain has nothing to do with motivation and nothing to do with caring. It’s a multiplier. Roughly:</w:t>
      </w:r>
      <w:r>
        <w:t xml:space="preserve"> </w:t>
      </w:r>
      <w:r>
        <w:rPr>
          <w:b/>
        </w:rPr>
        <w:t xml:space="preserve">output = gain × error.</w:t>
      </w:r>
      <w:r>
        <w:t xml:space="preserve"> </w:t>
      </w:r>
      <w:r>
        <w:t xml:space="preserve">High gain buys tight control and fast recovery. It also buys overshoot, because by the time the room reaches sixty-eight the ducts are full of hot air that hasn’t arrived yet, and the room sails past to seventy-one. Then the system corrects downward, overshoots again, and you get a house that’s never comfortable and never still.</w:t>
      </w:r>
    </w:p>
    <w:p>
      <w:pPr>
        <w:pStyle w:val="BodyText"/>
      </w:pPr>
      <w:r>
        <w:rPr>
          <w:b/>
        </w:rPr>
        <w:t xml:space="preserve">Damping</w:t>
      </w:r>
      <w:r>
        <w:t xml:space="preserve"> </w:t>
      </w:r>
      <w:r>
        <w:t xml:space="preserve">is how much the system waits, how much it discounts the error it can see in favor of the correction already in flight. An undamped high-gain loop oscillates. A well-damped loop approaches the set point and settles. An overdamped loop is sluggish and never quite arrives, drifting a degree low forever because it won’t push hard enough to close the last of the gap. Every clinician has met all three houses.</w:t>
      </w:r>
    </w:p>
    <w:p>
      <w:pPr>
        <w:pStyle w:val="BodyText"/>
      </w:pPr>
      <w:r>
        <w:rPr>
          <w:b/>
        </w:rPr>
        <w:t xml:space="preserve">Deadband</w:t>
      </w:r>
      <w:r>
        <w:t xml:space="preserve">, sometimes called sensitivity or tolerance, is how much deviation the system will accept before it acts at all. A thermostat with a two-degree deadband set to sixty-eight does nothing between sixty-seven and sixty-nine. Widen the deadband and the system becomes tolerant, cheap to run, and imprecise. Narrow it to nothing and the system becomes exquisitely accurate and starts short-cycling itself to death, kicking on and off every ninety seconds, wearing out its own machinery.</w:t>
      </w:r>
    </w:p>
    <w:p>
      <w:pPr>
        <w:pStyle w:val="BodyText"/>
      </w:pPr>
      <w:r>
        <w:t xml:space="preserve">Notice what’s just been described without one psychological word: a system that’s stable but not rigid, that can be too reactive or too slow, that can chase its own tail, that can be exhausted by its own sensitivity, and that can be catastrophically wrong about the world while performing perfectly by its own internal standard. Your Instant Pot has most of that architecture, and your Instant Pot has no inner life whatsoever.</w:t>
      </w:r>
    </w:p>
    <w:p>
      <w:pPr>
        <w:pStyle w:val="BodyText"/>
      </w:pPr>
      <w:r>
        <w:t xml:space="preserve">Hold onto that last property…</w:t>
      </w:r>
    </w:p>
    <w:p>
      <w:pPr>
        <w:pStyle w:val="BodyText"/>
      </w:pPr>
      <w:r>
        <w:t xml:space="preserve">A sensor mounted above a radiator gives you a working thermostat fed bad input. No amount of adjustment to the furnace will fix it.</w:t>
      </w:r>
    </w:p>
    <w:p>
      <w:pPr>
        <w:pStyle w:val="BodyText"/>
      </w:pPr>
      <w:r>
        <w:drawing>
          <wp:inline>
            <wp:extent cx="5334000" cy="2401506"/>
            <wp:effectExtent b="0" l="0" r="0" t="0"/>
            <wp:docPr descr="" title="" id="1" name="Picture"/>
            <a:graphic>
              <a:graphicData uri="http://schemas.openxmlformats.org/drawingml/2006/picture">
                <pic:pic>
                  <pic:nvPicPr>
                    <pic:cNvPr descr="figures/fig-2-2-gain-damping.png" id="0" name="Picture"/>
                    <pic:cNvPicPr>
                      <a:picLocks noChangeArrowheads="1" noChangeAspect="1"/>
                    </pic:cNvPicPr>
                  </pic:nvPicPr>
                  <pic:blipFill>
                    <a:blip r:embed="rId46"/>
                    <a:stretch>
                      <a:fillRect/>
                    </a:stretch>
                  </pic:blipFill>
                  <pic:spPr bwMode="auto">
                    <a:xfrm>
                      <a:off x="0" y="0"/>
                      <a:ext cx="5334000" cy="2401506"/>
                    </a:xfrm>
                    <a:prstGeom prst="rect">
                      <a:avLst/>
                    </a:prstGeom>
                    <a:noFill/>
                    <a:ln w="9525">
                      <a:noFill/>
                      <a:headEnd/>
                      <a:tailEnd/>
                    </a:ln>
                  </pic:spPr>
                </pic:pic>
              </a:graphicData>
            </a:graphic>
          </wp:inline>
        </w:drawing>
      </w:r>
    </w:p>
    <w:p>
      <w:pPr>
        <w:pStyle w:val="BodyText"/>
      </w:pPr>
      <w:r>
        <w:rPr>
          <w:i/>
        </w:rPr>
        <w:t xml:space="preserve">Figure 2.2. Gain and damping: how a control loop settles, overshoots, or oscillates.</w:t>
      </w:r>
    </w:p>
    <w:p>
      <w:pPr>
        <w:pStyle w:val="Heading2"/>
      </w:pPr>
      <w:bookmarkStart w:id="47" w:name="biological-control"/>
      <w:r>
        <w:t xml:space="preserve">2.2 Biological control</w:t>
      </w:r>
      <w:bookmarkEnd w:id="47"/>
    </w:p>
    <w:p>
      <w:pPr>
        <w:pStyle w:val="FirstParagraph"/>
      </w:pPr>
      <w:r>
        <w:t xml:space="preserve">Walter Cannon gave this arrangement its physiological name almost a century ago. Writing in</w:t>
      </w:r>
      <w:r>
        <w:t xml:space="preserve"> </w:t>
      </w:r>
      <w:r>
        <w:rPr>
          <w:i/>
        </w:rPr>
        <w:t xml:space="preserve">Physiological Reviews</w:t>
      </w:r>
      <w:r>
        <w:t xml:space="preserve">, he described the</w:t>
      </w:r>
      <w:r>
        <w:t xml:space="preserve"> </w:t>
      </w:r>
      <w:r>
        <w:t xml:space="preserve">“</w:t>
      </w:r>
      <w:r>
        <w:t xml:space="preserve">organization for physiological homeostasis</w:t>
      </w:r>
      <w:r>
        <w:t xml:space="preserve">”</w:t>
      </w:r>
      <w:r>
        <w:t xml:space="preserve">, the coordinated set of processes that hold the internal conditions of a mammal within narrow limits despite an environment that does nothing to help (Cannon, 1929). Body temperature, blood pH, calcium, glucose, oxygen saturation: each one is sensed, each one is compared against something like a reference, and each one is defended.</w:t>
      </w:r>
    </w:p>
    <w:p>
      <w:pPr>
        <w:pStyle w:val="BodyText"/>
      </w:pPr>
      <w:r>
        <w:t xml:space="preserve">Take thirst, because it’s the cleanest worked example in the body and because it will do a lot of work later.</w:t>
      </w:r>
    </w:p>
    <w:p>
      <w:pPr>
        <w:pStyle w:val="BodyText"/>
      </w:pPr>
      <w:r>
        <w:t xml:space="preserve">The regulated quantity is the concentration of solutes in the blood,</w:t>
      </w:r>
      <w:r>
        <w:t xml:space="preserve"> </w:t>
      </w:r>
      <w:r>
        <w:rPr>
          <w:b/>
        </w:rPr>
        <w:t xml:space="preserve">plasma osmolality</w:t>
      </w:r>
      <w:r>
        <w:t xml:space="preserve">. The sensors are osmoreceptive neurons in circumventricular organs of the forebrain, structures that sit outside the blood–brain barrier precisely so they can taste the blood directly (Zimmerman, Leib, &amp; Knight, 2017). The set point is roughly 280 to 295 milliosmoles per kilogram, and the tolerance around it is startlingly tight. A rise of one or two percent is enough to produce a measurable response.</w:t>
      </w:r>
    </w:p>
    <w:p>
      <w:pPr>
        <w:pStyle w:val="BodyText"/>
      </w:pPr>
      <w:r>
        <w:t xml:space="preserve">When osmolality drifts above that band, the comparison produces an error signal, and that error signal is</w:t>
      </w:r>
      <w:r>
        <w:t xml:space="preserve"> </w:t>
      </w:r>
      <w:r>
        <w:rPr>
          <w:b/>
        </w:rPr>
        <w:t xml:space="preserve">thirst</w:t>
      </w:r>
      <w:r>
        <w:t xml:space="preserve">. Thirst carries no description of the blood and no information about water. What it carries is a magnitude with a direction and an unpleasantness, and it grows as the discrepancy grows. The output is behavior: get up, find water, drink it.</w:t>
      </w:r>
    </w:p>
    <w:p>
      <w:pPr>
        <w:pStyle w:val="BodyText"/>
      </w:pPr>
      <w:r>
        <w:t xml:space="preserve">Then something worth pausing on happens. Thirst switches off within a minute or two of drinking, long before a drop of that water has been absorbed and long before plasma osmolality has moved at all. The oropharyngeal and gastric signals of swallowing feed forward into the same circuit and shut the error down in anticipation (Zimmerman et al., 2017; Gizowski &amp; Bourque, 2018). Feedback alone is too slow here, so the body bolts feed-forward correction onto the comparator. Any engineer would recognize the fix, and it’s the same reason a well-designed thermostat shuts the furnace off slightly early. We’ll meet this idea again, under a different name, in Section 3.</w:t>
      </w:r>
    </w:p>
    <w:p>
      <w:pPr>
        <w:pStyle w:val="BodyText"/>
      </w:pPr>
      <w:r>
        <w:t xml:space="preserve">Here’s the move that matters, and it isn’t a small one. The pancreas regulates blood glucose by secreting hormones. The kidney regulates sodium by adjusting excretion. These organs correct errors</w:t>
      </w:r>
      <w:r>
        <w:t xml:space="preserve"> </w:t>
      </w:r>
      <w:r>
        <w:rPr>
          <w:i/>
        </w:rPr>
        <w:t xml:space="preserve">inside the body</w:t>
      </w:r>
      <w:r>
        <w:t xml:space="preserve">, using internal machinery, and you feel nothing. The brain regulates too, but the brain’s control element is largely</w:t>
      </w:r>
      <w:r>
        <w:t xml:space="preserve"> </w:t>
      </w:r>
      <w:r>
        <w:rPr>
          <w:b/>
        </w:rPr>
        <w:t xml:space="preserve">the organism’s behavior in the world</w:t>
      </w:r>
      <w:r>
        <w:t xml:space="preserve">. When plasma osmolality rises, no internal mechanism can manufacture water. The only available correction is to move a body across a room, operate a tap, and swallow. The error has to be made available to whatever system chooses actions, and it has to be made unpleasant enough to win against everything else that system might do instead.</w:t>
      </w:r>
    </w:p>
    <w:p>
      <w:pPr>
        <w:pStyle w:val="BodyText"/>
      </w:pPr>
      <w:r>
        <w:t xml:space="preserve">That’s the design constraint. A biological control system whose only effective output is behavior can’t afford a silent error signal.</w:t>
      </w:r>
    </w:p>
    <w:p>
      <w:pPr>
        <w:pStyle w:val="Heading2"/>
      </w:pPr>
      <w:bookmarkStart w:id="48" w:name="Xba293eb560f3160ff3a046ba433ee7da27e96dd"/>
      <w:r>
        <w:t xml:space="preserve">2.3 The claim that emotions are error signals</w:t>
      </w:r>
      <w:bookmarkEnd w:id="48"/>
    </w:p>
    <w:p>
      <w:pPr>
        <w:pStyle w:val="FirstParagraph"/>
      </w:pPr>
      <w:r>
        <w:t xml:space="preserve">In early 2025, the anonymous authors writing under the name Slime Mold Time Mold published a serial on their blog called</w:t>
      </w:r>
      <w:r>
        <w:t xml:space="preserve"> </w:t>
      </w:r>
      <w:r>
        <w:rPr>
          <w:i/>
        </w:rPr>
        <w:t xml:space="preserve">The Mind in the Wheel</w:t>
      </w:r>
      <w:r>
        <w:t xml:space="preserve">. It ran to fourteen installments, a prologue, twelve numbered parts, and an interlude, between February and May of that year (Slime Mold Time Mold, 2025a–2025e). It’s self-published, it hasn’t been peer reviewed, and the authors describe it, without much modesty, as psychology’s first paradigm. Take that framing for what it is. The core proposal still deserves a clinician’s attention, and it’s stated with unusual clarity.</w:t>
      </w:r>
    </w:p>
    <w:p>
      <w:pPr>
        <w:pStyle w:val="BodyText"/>
      </w:pPr>
      <w:r>
        <w:t xml:space="preserve">Their claim, in their own words:</w:t>
      </w:r>
      <w:r>
        <w:t xml:space="preserve"> </w:t>
      </w:r>
      <w:r>
        <w:rPr>
          <w:i/>
        </w:rPr>
        <w:t xml:space="preserve">“</w:t>
      </w:r>
      <w:r>
        <w:rPr>
          <w:i/>
        </w:rPr>
        <w:t xml:space="preserve">An emotion is the error signal in a behavioral biological control system</w:t>
      </w:r>
      <w:r>
        <w:rPr>
          <w:i/>
        </w:rPr>
        <w:t xml:space="preserve">”</w:t>
      </w:r>
      <w:r>
        <w:t xml:space="preserve"> </w:t>
      </w:r>
      <w:r>
        <w:t xml:space="preserve">(Slime Mold Time Mold, 2025b).</w:t>
      </w:r>
    </w:p>
    <w:p>
      <w:pPr>
        <w:pStyle w:val="BodyText"/>
      </w:pPr>
      <w:r>
        <w:t xml:space="preserve">The qualifier carries the argument. Serum copper is regulated. It’s sensed, compared, and defended, and there’s no such thing as feeling copper-deficient, not as an experience. The reason, on this account, is that copper regulation requires no behavior. It’s handled internally, by processes the person never becomes aware of and that may not involve the brain at all. Thirst, hunger, cold, pain, the need to urinate, air hunger, fear, shame, disgust, loneliness: these are the errors of control systems whose corrections have to be carried out by the whole animal, and so they’re the errors you can feel. Feeling, on this proposal, is what an error signal is like when it has to recruit behavior.</w:t>
      </w:r>
    </w:p>
    <w:p>
      <w:pPr>
        <w:pStyle w:val="BodyText"/>
      </w:pPr>
      <w:r>
        <w:t xml:space="preserve">The vocabulary is deliberately mechanical, and it’s worth learning as a set:</w:t>
      </w:r>
    </w:p>
    <w:p>
      <w:pPr>
        <w:pStyle w:val="BodyText"/>
      </w:pPr>
      <w:r>
        <w:rPr>
          <w:b/>
        </w:rPr>
        <w:t xml:space="preserve">Governor.</w:t>
      </w:r>
      <w:r>
        <w:t xml:space="preserve"> </w:t>
      </w:r>
      <w:r>
        <w:t xml:space="preserve">One complete control system. Sensor, comparator, set point, error, output. A person runs many at once, each defending its own variable toward its own target.</w:t>
      </w:r>
      <w:r>
        <w:t xml:space="preserve"> </w:t>
      </w:r>
      <w:r>
        <w:rPr>
          <w:b/>
        </w:rPr>
        <w:t xml:space="preserve">Selector.</w:t>
      </w:r>
      <w:r>
        <w:t xml:space="preserve"> </w:t>
      </w:r>
      <w:r>
        <w:t xml:space="preserve">The arbitrator. A body can only do one thing at a time, so something has to decide which error gets the body.</w:t>
      </w:r>
      <w:r>
        <w:t xml:space="preserve"> </w:t>
      </w:r>
      <w:r>
        <w:rPr>
          <w:b/>
        </w:rPr>
        <w:t xml:space="preserve">Vote.</w:t>
      </w:r>
      <w:r>
        <w:t xml:space="preserve"> </w:t>
      </w:r>
      <w:r>
        <w:t xml:space="preserve">What each governor casts for the behaviors that would reduce its error. The size of the vote scales with the size of the error.</w:t>
      </w:r>
      <w:r>
        <w:t xml:space="preserve"> </w:t>
      </w:r>
      <w:r>
        <w:rPr>
          <w:b/>
        </w:rPr>
        <w:t xml:space="preserve">Weight.</w:t>
      </w:r>
      <w:r>
        <w:t xml:space="preserve"> </w:t>
      </w:r>
      <w:r>
        <w:t xml:space="preserve">How loud a given governor gets to be next to its neighbors. Constitutional, not situational.</w:t>
      </w:r>
      <w:r>
        <w:t xml:space="preserve"> </w:t>
      </w:r>
      <w:r>
        <w:rPr>
          <w:b/>
        </w:rPr>
        <w:t xml:space="preserve">Gate.</w:t>
      </w:r>
      <w:r>
        <w:t xml:space="preserve"> </w:t>
      </w:r>
      <w:r>
        <w:t xml:space="preserve">A threshold that discards votes below it, which is why faint background hunger produces no behavior at all until it crosses a line and then abruptly does.</w:t>
      </w:r>
      <w:r>
        <w:t xml:space="preserve"> </w:t>
      </w:r>
      <w:r>
        <w:rPr>
          <w:b/>
        </w:rPr>
        <w:t xml:space="preserve">Knockout.</w:t>
      </w:r>
      <w:r>
        <w:t xml:space="preserve"> </w:t>
      </w:r>
      <w:r>
        <w:t xml:space="preserve">Their term for the natural experiment in which a governor is absent or silenced in a particular individual.</w:t>
      </w:r>
    </w:p>
    <w:p>
      <w:pPr>
        <w:pStyle w:val="BodyText"/>
      </w:pPr>
      <w:r>
        <w:t xml:space="preserve">The knockout case they lean on is the patient with bilateral amygdala damage who reports essentially no fear yet still panics under carbon dioxide inhalation, which they read as evidence that fear and air hunger are separate governors rather than two shades of one thing (Slime Mold Time Mold, 2025e).</w:t>
      </w:r>
    </w:p>
    <w:p>
      <w:pPr>
        <w:pStyle w:val="BodyText"/>
      </w:pPr>
      <w:r>
        <w:t xml:space="preserve">The architecture implies a taxonomy of failure, and this is where the framework starts to earn its keep clinically. A control loop has four places to break, and each break has a different signature.</w:t>
      </w:r>
    </w:p>
    <w:p>
      <w:pPr>
        <w:pStyle w:val="BodyText"/>
      </w:pPr>
      <w:r>
        <w:t xml:space="preserve">DON’T ask whether the person in front of you is regulating. They are. Regulation is what a nervous system does.</w:t>
      </w:r>
    </w:p>
    <w:p>
      <w:pPr>
        <w:pStyle w:val="BodyText"/>
      </w:pPr>
      <w:r>
        <w:t xml:space="preserve">ASK which of the four parts is producing the failure.</w:t>
      </w:r>
    </w:p>
    <w:p>
      <w:pPr>
        <w:pStyle w:val="BodyText"/>
      </w:pPr>
      <w:r>
        <w:t xml:space="preserve">A</w:t>
      </w:r>
      <w:r>
        <w:t xml:space="preserve"> </w:t>
      </w:r>
      <w:r>
        <w:rPr>
          <w:b/>
        </w:rPr>
        <w:t xml:space="preserve">sensor fault</w:t>
      </w:r>
      <w:r>
        <w:t xml:space="preserve"> </w:t>
      </w:r>
      <w:r>
        <w:t xml:space="preserve">means the measurement is wrong. The variable is fine and the reading isn’t. The system corrects vigorously and correctly toward a state of the world that doesn’t exist.</w:t>
      </w:r>
    </w:p>
    <w:p>
      <w:pPr>
        <w:pStyle w:val="BodyText"/>
      </w:pPr>
      <w:r>
        <w:t xml:space="preserve">A</w:t>
      </w:r>
      <w:r>
        <w:t xml:space="preserve"> </w:t>
      </w:r>
      <w:r>
        <w:rPr>
          <w:b/>
        </w:rPr>
        <w:t xml:space="preserve">comparator fault</w:t>
      </w:r>
      <w:r>
        <w:t xml:space="preserve"> </w:t>
      </w:r>
      <w:r>
        <w:t xml:space="preserve">means the subtraction is wrong. Sensor and set point are both accurate, and the error that comes out is too large, too small, or absent. Errors turned down by half give you a person who has to be twice as far out of alignment before they act. Errors turned down to near zero give you a person who does almost nothing.</w:t>
      </w:r>
    </w:p>
    <w:p>
      <w:pPr>
        <w:pStyle w:val="BodyText"/>
      </w:pPr>
      <w:r>
        <w:t xml:space="preserve">A</w:t>
      </w:r>
      <w:r>
        <w:t xml:space="preserve"> </w:t>
      </w:r>
      <w:r>
        <w:rPr>
          <w:b/>
        </w:rPr>
        <w:t xml:space="preserve">set-point fault</w:t>
      </w:r>
      <w:r>
        <w:t xml:space="preserve"> </w:t>
      </w:r>
      <w:r>
        <w:t xml:space="preserve">means the target itself has moved. Nothing is broken in the machinery. The machinery is defending the wrong value, correctly and tirelessly.</w:t>
      </w:r>
    </w:p>
    <w:p>
      <w:pPr>
        <w:pStyle w:val="BodyText"/>
      </w:pPr>
      <w:r>
        <w:t xml:space="preserve">An</w:t>
      </w:r>
      <w:r>
        <w:t xml:space="preserve"> </w:t>
      </w:r>
      <w:r>
        <w:rPr>
          <w:b/>
        </w:rPr>
        <w:t xml:space="preserve">output fault</w:t>
      </w:r>
      <w:r>
        <w:t xml:space="preserve"> </w:t>
      </w:r>
      <w:r>
        <w:t xml:space="preserve">means the error is generated accurately and the correction can’t be executed. The furnace is disconnected. The person knows exactly what they need and can’t make the behavior happen.</w:t>
      </w:r>
    </w:p>
    <w:p>
      <w:pPr>
        <w:pStyle w:val="BodyText"/>
      </w:pPr>
      <w:r>
        <w:t xml:space="preserve">Four faults, one presentation. From outside, all four look like a system that isn’t doing its job.</w:t>
      </w:r>
    </w:p>
    <w:p>
      <w:pPr>
        <w:pStyle w:val="BodyText"/>
      </w:pPr>
      <w:r>
        <w:t xml:space="preserve">I have sat with clients in all four categories, and for years I read the flat ones as a motivation problem. That was a sensor fault of my own. The four faults call for four different interventions, and exactly ONE of them has anything to do with motivation.</w:t>
      </w:r>
    </w:p>
    <w:p>
      <w:pPr>
        <w:pStyle w:val="BodyText"/>
      </w:pPr>
      <w:r>
        <w:t xml:space="preserve">Their application to depression follows from this. In Part V they work through seven named classes of malfunction that would all be diagnosed as depression: too much success (a life so well-regulated that errors are never large, so corrections are never large, so the person is never happy); happiness not generated (corrections occur normally but the mechanism that registers them fails, producing the patient who functions and describes himself as dead inside); errors not generated; errors generated too much; errors reduced by other routes; failures in voting and gating; and failures in what they call pricing, how the system weighs the cost of an action against the error it would relieve (Slime Mold Time Mold, 2025c). Mechanically these are unrelated conditions with unrelated treatments. Symptomatically they converge.</w:t>
      </w:r>
    </w:p>
    <w:p>
      <w:pPr>
        <w:pStyle w:val="BodyText"/>
      </w:pPr>
      <w:r>
        <w:t xml:space="preserve">The observation they build on is a real one, and clinicians know it well. Most illnesses produce a symptom or fail to. Depression produces a symptom</w:t>
      </w:r>
      <w:r>
        <w:t xml:space="preserve"> </w:t>
      </w:r>
      <w:r>
        <w:rPr>
          <w:i/>
        </w:rPr>
        <w:t xml:space="preserve">and its opposite</w:t>
      </w:r>
      <w:r>
        <w:t xml:space="preserve">. Insomnia and hypersomnia. Weight gain and weight loss. Eating too much and eating too little. Agitation and retardation. Overwhelming pain and total numbness. Their explanation is that these pairs are governed by two opposing systems rather than one: a governor that makes sure you sleep enough and a separate governor that makes sure you wake, a governor for eating enough and a governor against eating too much. As Powers argued long before them, a neural comparator can only signal error in one direction, so bidirectional control requires two loops (Slime Mold Time Mold, 2025b). A fault in the shared machinery can land on either side of a pair. Hit one and you get insomnia, hit the other and you get hypersomnia, and the underlying lesion is the same kind of lesion.</w:t>
      </w:r>
    </w:p>
    <w:p>
      <w:pPr>
        <w:pStyle w:val="BodyText"/>
      </w:pPr>
      <w:r>
        <w:t xml:space="preserve">Their summary judgment on symptom-cluster diagnosis is the line most likely to stay with you. Imagine bringing your car to a mechanic who tells you it has a case of</w:t>
      </w:r>
      <w:r>
        <w:t xml:space="preserve"> </w:t>
      </w:r>
      <w:r>
        <w:t xml:space="preserve">“</w:t>
      </w:r>
      <w:r>
        <w:t xml:space="preserve">broken-downness.</w:t>
      </w:r>
      <w:r>
        <w:t xml:space="preserve">”</w:t>
      </w:r>
      <w:r>
        <w:t xml:space="preserve"> </w:t>
      </w:r>
      <w:r>
        <w:t xml:space="preserve">You’d know immediately that he had no idea what he was talking about. Broken-downness is an abstraction. It doesn’t refer to anything and it won’t help you fix a car. A competent mechanic says: your spark plugs are shot, so they can’t drive the pistons. Then they observe that when a person feels sad all the time, we tell them they have depression, a category that carries no account of what parts are involved or what rules they follow (Slime Mold Time Mold, 2025a).</w:t>
      </w:r>
    </w:p>
    <w:p>
      <w:pPr>
        <w:pStyle w:val="BodyText"/>
      </w:pPr>
      <w:r>
        <w:t xml:space="preserve">That’s uncomfortable, and it isn’t entirely fair to a diagnostic system built to do a different job. It also isn’t entirely wrong.</w:t>
      </w:r>
    </w:p>
    <w:p>
      <w:pPr>
        <w:pStyle w:val="Heading2"/>
      </w:pPr>
      <w:bookmarkStart w:id="49" w:name="a-then-what-is-happiness"/>
      <w:r>
        <w:t xml:space="preserve">2.3a Then what is happiness?</w:t>
      </w:r>
      <w:bookmarkEnd w:id="49"/>
    </w:p>
    <w:p>
      <w:pPr>
        <w:pStyle w:val="FirstParagraph"/>
      </w:pPr>
      <w:r>
        <w:t xml:space="preserve">It’s the first question anybody asks of that claim, and it’s a good one. Hunger, fear and shame all behave like error signals. Joy doesn’t. Nothing in you is working to drive joy to zero.</w:t>
      </w:r>
    </w:p>
    <w:p>
      <w:pPr>
        <w:pStyle w:val="BodyText"/>
      </w:pPr>
      <w:r>
        <w:t xml:space="preserve">The Slime Mold answer is that happiness isn’t an emotion at all.</w:t>
      </w:r>
    </w:p>
    <w:p>
      <w:pPr>
        <w:pStyle w:val="BlockText"/>
      </w:pPr>
      <w:r>
        <w:t xml:space="preserve">“</w:t>
      </w:r>
      <w:r>
        <w:t xml:space="preserve">Emotions are easy to identify because they are errors in a control system. Like any error in a control system, successful behavior drives the error to zero. This means that happiness is not an emotion.</w:t>
      </w:r>
      <w:r>
        <w:t xml:space="preserve">”</w:t>
      </w:r>
      <w:r>
        <w:t xml:space="preserve"> </w:t>
      </w:r>
      <w:r>
        <w:t xml:space="preserve">(Slime Mold Time Mold, 2025b)</w:t>
      </w:r>
    </w:p>
    <w:p>
      <w:pPr>
        <w:pStyle w:val="FirstParagraph"/>
      </w:pPr>
      <w:r>
        <w:t xml:space="preserve">What happiness is, on their account, is what it feels like when a governor’s error gets corrected:</w:t>
      </w:r>
      <w:r>
        <w:t xml:space="preserve"> </w:t>
      </w:r>
      <w:r>
        <w:t xml:space="preserve">“</w:t>
      </w:r>
      <w:r>
        <w:t xml:space="preserve">Happiness is what happens when a thirsty person drinks, when a tired person rests, when a frightened person reaches safety.</w:t>
      </w:r>
      <w:r>
        <w:t xml:space="preserve">”</w:t>
      </w:r>
      <w:r>
        <w:t xml:space="preserve"> </w:t>
      </w:r>
      <w:r>
        <w:t xml:space="preserve">Correct a large error, or correct one quickly, and you get more of it than from a slow incremental fix. That matches ordinary experience better than it has any right to. The best meal of your life was eaten hungry.</w:t>
      </w:r>
    </w:p>
    <w:p>
      <w:pPr>
        <w:pStyle w:val="BodyText"/>
      </w:pPr>
      <w:r>
        <w:t xml:space="preserve">Two further consequences follow, and both are testable in principle.</w:t>
      </w:r>
    </w:p>
    <w:p>
      <w:pPr>
        <w:pStyle w:val="BodyText"/>
      </w:pPr>
      <w:r>
        <w:rPr>
          <w:b/>
        </w:rPr>
        <w:t xml:space="preserve">There is no such thing as unhappiness.</w:t>
      </w:r>
      <w:r>
        <w:t xml:space="preserve"> </w:t>
      </w:r>
      <w:r>
        <w:t xml:space="preserve">Happiness cannot go negative, because it is not a regulated variable with a set point. What gets called unhappiness is an uncorrected error somewhere in the system, which is a different thing wearing the same word.</w:t>
      </w:r>
    </w:p>
    <w:p>
      <w:pPr>
        <w:pStyle w:val="BodyText"/>
      </w:pPr>
      <w:r>
        <w:rPr>
          <w:b/>
        </w:rPr>
        <w:t xml:space="preserve">Happiness has a job.</w:t>
      </w:r>
      <w:r>
        <w:t xml:space="preserve"> </w:t>
      </w:r>
      <w:r>
        <w:t xml:space="preserve">They propose it as a learning and allocation signal: it marks which behaviors worked so the system repeats them, and helps calibrate how much to explore versus exploit. Notably, no governor votes</w:t>
      </w:r>
      <w:r>
        <w:t xml:space="preserve"> </w:t>
      </w:r>
      <w:r>
        <w:rPr>
          <w:i/>
        </w:rPr>
        <w:t xml:space="preserve">for</w:t>
      </w:r>
      <w:r>
        <w:t xml:space="preserve"> </w:t>
      </w:r>
      <w:r>
        <w:t xml:space="preserve">happiness, which is their explanation for why people demonstrably fail to maximize it.</w:t>
      </w:r>
    </w:p>
    <w:p>
      <w:pPr>
        <w:pStyle w:val="BodyText"/>
      </w:pPr>
      <w:r>
        <w:rPr>
          <w:b/>
        </w:rPr>
        <w:t xml:space="preserve">Where the account runs out.</w:t>
      </w:r>
      <w:r>
        <w:t xml:space="preserve"> </w:t>
      </w:r>
      <w:r>
        <w:t xml:space="preserve">It handles joy, relief, satisfaction and pleasure by collapsing them into one undifferentiated correction signal. Their words:</w:t>
      </w:r>
      <w:r>
        <w:t xml:space="preserve"> </w:t>
      </w:r>
      <w:r>
        <w:t xml:space="preserve">“</w:t>
      </w:r>
      <w:r>
        <w:t xml:space="preserve">there’s only one way to feel good,</w:t>
      </w:r>
      <w:r>
        <w:t xml:space="preserve">”</w:t>
      </w:r>
      <w:r>
        <w:t xml:space="preserve"> </w:t>
      </w:r>
      <w:r>
        <w:t xml:space="preserve">and</w:t>
      </w:r>
      <w:r>
        <w:t xml:space="preserve"> </w:t>
      </w:r>
      <w:r>
        <w:t xml:space="preserve">“</w:t>
      </w:r>
      <w:r>
        <w:t xml:space="preserve">all of our words for positive emotion, joy, excitement, pride, are really referring to the same thing, just in different contexts.</w:t>
      </w:r>
      <w:r>
        <w:t xml:space="preserve">”</w:t>
      </w:r>
      <w:r>
        <w:t xml:space="preserve"> </w:t>
      </w:r>
      <w:r>
        <w:t xml:space="preserve">That is asserted rather than argued, and it leaves amusement, awe and aesthetic pleasure entirely unaddressed. Across the full fourteen-post series, none of those three words appears.</w:t>
      </w:r>
    </w:p>
    <w:p>
      <w:pPr>
        <w:pStyle w:val="BodyText"/>
      </w:pPr>
      <w:r>
        <w:t xml:space="preserve">They are straighter about curiosity, which they flag themselves as unresolved:</w:t>
      </w:r>
      <w:r>
        <w:t xml:space="preserve"> </w:t>
      </w:r>
      <w:r>
        <w:t xml:space="preserve">“</w:t>
      </w:r>
      <w:r>
        <w:t xml:space="preserve">acting on your fear should make you less afraid, acting on your thirst should make you less thirsty, but acting on your curiosity often seems to make you more curious.</w:t>
      </w:r>
      <w:r>
        <w:t xml:space="preserve">”</w:t>
      </w:r>
      <w:r>
        <w:t xml:space="preserve"> </w:t>
      </w:r>
      <w:r>
        <w:t xml:space="preserve">A signal that grows when acted on runs backwards from every other loop in the model, and they list it, along with happiness and surprise, as a non-error signal requiring future work.</w:t>
      </w:r>
    </w:p>
    <w:p>
      <w:pPr>
        <w:pStyle w:val="BodyText"/>
      </w:pPr>
      <w:r>
        <w:rPr>
          <w:b/>
        </w:rPr>
        <w:t xml:space="preserve">The position taken in this document is narrower than theirs.</w:t>
      </w:r>
      <w:r>
        <w:t xml:space="preserve"> </w:t>
      </w:r>
      <w:r>
        <w:t xml:space="preserve">Error signals account for the emotions that push an organism toward a target. Happiness is a reasonable reading of what arriving feels like. Amusement, awe and curiosity are unaccounted for, and leaving them unaccounted for is preferable to stretching the framework to cover them, which is precisely the flexibility objection raised in Section 8.</w:t>
      </w:r>
    </w:p>
    <w:p>
      <w:pPr>
        <w:pStyle w:val="BodyText"/>
      </w:pPr>
      <w:r>
        <w:rPr>
          <w:b/>
        </w:rPr>
        <w:t xml:space="preserve">Status: their claim, clearly stated and repeated across five posts. Not tested.</w:t>
      </w:r>
      <w:r>
        <w:t xml:space="preserve"> </w:t>
      </w:r>
      <w:r>
        <w:t xml:space="preserve">No one has measured whether reported positive affect scales with the magnitude or rate of error correction, which is what the account predicts.</w:t>
      </w:r>
    </w:p>
    <w:p>
      <w:pPr>
        <w:pStyle w:val="Heading2"/>
      </w:pPr>
      <w:bookmarkStart w:id="50" w:name="X4ef7479c0b3e3b011b6ab345b7f4ef4b3851e43"/>
      <w:r>
        <w:t xml:space="preserve">2.4 The real intellectual lineage: credit where due</w:t>
      </w:r>
      <w:bookmarkEnd w:id="50"/>
    </w:p>
    <w:p>
      <w:pPr>
        <w:pStyle w:val="FirstParagraph"/>
      </w:pPr>
      <w:r>
        <w:t xml:space="preserve">Almost none of the structural content above is new, and a reader coming to it fresh in 2025 deserves to know that.</w:t>
      </w:r>
    </w:p>
    <w:p>
      <w:pPr>
        <w:pStyle w:val="BodyText"/>
      </w:pPr>
      <w:r>
        <w:t xml:space="preserve">James Clerk Maxwell wrote the first mathematical treatment in 1868, in a three-page paper to the Royal Society titled, with beautiful economy,</w:t>
      </w:r>
      <w:r>
        <w:t xml:space="preserve"> </w:t>
      </w:r>
      <w:r>
        <w:t xml:space="preserve">“</w:t>
      </w:r>
      <w:r>
        <w:t xml:space="preserve">On Governors</w:t>
      </w:r>
      <w:r>
        <w:t xml:space="preserve">”</w:t>
      </w:r>
      <w:r>
        <w:t xml:space="preserve"> </w:t>
      </w:r>
      <w:r>
        <w:t xml:space="preserve">(Maxwell, 1868). Steam engines fitted with centrifugal governors were prone to hunting, surging and sagging instead of holding speed, and Maxwell showed that whether a governor settled or oscillated depended on the relationship between how hard it corrected and how quickly it responded. Gain and damping, in 1868, in the context of machinery. Every oscillating clinical system you’ll meet in this document is a descendant of Maxwell’s hunting engine.</w:t>
      </w:r>
    </w:p>
    <w:p>
      <w:pPr>
        <w:pStyle w:val="BodyText"/>
      </w:pPr>
      <w:r>
        <w:t xml:space="preserve">Norbert Wiener named the field.</w:t>
      </w:r>
      <w:r>
        <w:rPr>
          <w:rStyle w:val="FootnoteReference"/>
        </w:rPr>
        <w:footnoteReference w:id="51"/>
      </w:r>
      <w:r>
        <w:t xml:space="preserve"> </w:t>
      </w:r>
      <w:r>
        <w:rPr>
          <w:i/>
        </w:rPr>
        <w:t xml:space="preserve">Cybernetics: or Control and Communication in the Animal and the Machine</w:t>
      </w:r>
      <w:r>
        <w:t xml:space="preserve"> </w:t>
      </w:r>
      <w:r>
        <w:t xml:space="preserve">(1948) took the mathematics of feedback control, which had matured enormously during the war in the design of anti-aircraft fire-control systems, and proposed that the same mathematics described nervous systems. That is the direct ancestor of the guidance and control work I trained in, and it began as a problem about aiming at a moving airplane. Five years earlier, Rosenblueth, Wiener, and Bigelow had already argued that purpose in behavior could be defined without mysticism as negative feedback toward a goal state (Rosenblueth, Wiener, &amp; Bigelow, 1943). Wiener’s most striking clinical claim was about the cerebellum. He noticed that intention tremor, the overshoot-and-oscillate that appears when a patient with cerebellar damage reaches for a glass, looks exactly like an engineering control loop with its damping removed. The correction is applied too hard and too late, the hand sails past the target, the error reverses, and the limb hunts. Call it what an engineer would call it: a control failure, in the literal sense of the phrase.</w:t>
      </w:r>
    </w:p>
    <w:p>
      <w:pPr>
        <w:pStyle w:val="BodyText"/>
      </w:pPr>
      <w:r>
        <w:t xml:space="preserve">Then William T. Powers. In 1973 Powers published</w:t>
      </w:r>
      <w:r>
        <w:t xml:space="preserve"> </w:t>
      </w:r>
      <w:r>
        <w:rPr>
          <w:i/>
        </w:rPr>
        <w:t xml:space="preserve">Behavior: The Control of Perception</w:t>
      </w:r>
      <w:r>
        <w:t xml:space="preserve">, and in the same year a paper in</w:t>
      </w:r>
      <w:r>
        <w:t xml:space="preserve"> </w:t>
      </w:r>
      <w:r>
        <w:rPr>
          <w:i/>
        </w:rPr>
        <w:t xml:space="preserve">Science</w:t>
      </w:r>
      <w:r>
        <w:t xml:space="preserve"> </w:t>
      </w:r>
      <w:r>
        <w:t xml:space="preserve">titled</w:t>
      </w:r>
      <w:r>
        <w:t xml:space="preserve"> </w:t>
      </w:r>
      <w:r>
        <w:t xml:space="preserve">“</w:t>
      </w:r>
      <w:r>
        <w:t xml:space="preserve">Feedback: Beyond Behaviorism</w:t>
      </w:r>
      <w:r>
        <w:t xml:space="preserve">”</w:t>
      </w:r>
      <w:r>
        <w:t xml:space="preserve"> </w:t>
      </w:r>
      <w:r>
        <w:t xml:space="preserve">(Powers, 1973a, 1973b), which was followed by exactly the kind of argument in the correspondence pages that the title invites. Powers’s thesis, developed further in</w:t>
      </w:r>
      <w:r>
        <w:t xml:space="preserve"> </w:t>
      </w:r>
      <w:r>
        <w:rPr>
          <w:i/>
        </w:rPr>
        <w:t xml:space="preserve">Psychological Review</w:t>
      </w:r>
      <w:r>
        <w:t xml:space="preserve"> </w:t>
      </w:r>
      <w:r>
        <w:t xml:space="preserve">five years later (Powers, 1978), was that organisms don’t control their behavior. They control their perceptions, and behavior is the variable means by which they do it. He built the model hierarchically, so that higher-level control systems act by setting the reference values of lower-level ones, and a goal at one level is a set point at the level below. He insisted that emotion and physiological drive belonged inside the loop rather than beside it. And he pointed out the two-comparator constraint on bidirectional control that reappears, quoted directly, in</w:t>
      </w:r>
      <w:r>
        <w:t xml:space="preserve"> </w:t>
      </w:r>
      <w:r>
        <w:rPr>
          <w:i/>
        </w:rPr>
        <w:t xml:space="preserve">The Mind in the Wheel</w:t>
      </w:r>
      <w:r>
        <w:t xml:space="preserve">.</w:t>
      </w:r>
    </w:p>
    <w:p>
      <w:pPr>
        <w:pStyle w:val="BodyText"/>
      </w:pPr>
      <w:r>
        <w:t xml:space="preserve">The content of the 2025 serial is substantially a rediscovery of Powers. That’s no criticism. Rediscoveries happen when an idea was right and got buried, and the writing in</w:t>
      </w:r>
      <w:r>
        <w:t xml:space="preserve"> </w:t>
      </w:r>
      <w:r>
        <w:rPr>
          <w:i/>
        </w:rPr>
        <w:t xml:space="preserve">The Mind in the Wheel</w:t>
      </w:r>
      <w:r>
        <w:t xml:space="preserve"> </w:t>
      </w:r>
      <w:r>
        <w:t xml:space="preserve">is clearer and more clinically vivid than most of the Perceptual Control Theory literature, which is part of why the older work stayed buried. But it changes who gets the credit, and it changes what a clinician should read next. There’s a fifty-year literature here. Carver and Scheier brought control-theoretic thinking into personality, clinical, and health psychology in 1982 (Carver &amp; Scheier, 1982). Marken and Mansell have kept the Powers program running and have argued its case as a unifying framework (Marken &amp; Mansell, 2013; Mansell &amp; Marken, 2015). Method of Levels is a therapy built explicitly on it (Higginson, Mansell, &amp; Wood, 2011). None of that appears in the serial.</w:t>
      </w:r>
    </w:p>
    <w:p>
      <w:pPr>
        <w:pStyle w:val="BodyText"/>
      </w:pPr>
      <w:r>
        <w:t xml:space="preserve">Maxwell in 1868, Wiener in 1948, Powers in 1973, a blog in 2025. The same character keeps walking back on stage the way Ed Baldwin keeps walking back on stage across four decades of</w:t>
      </w:r>
      <w:r>
        <w:t xml:space="preserve"> </w:t>
      </w:r>
      <w:r>
        <w:rPr>
          <w:i/>
        </w:rPr>
        <w:t xml:space="preserve">For All Mankind</w:t>
      </w:r>
      <w:r>
        <w:t xml:space="preserve">, older each time, running the same play, and the room acting like it has never seen him before.</w:t>
      </w:r>
    </w:p>
    <w:p>
      <w:pPr>
        <w:pStyle w:val="BodyText"/>
      </w:pPr>
      <w:r>
        <w:t xml:space="preserve">Two further absences are worth flagging. W. Ross Ashby, whose</w:t>
      </w:r>
      <w:r>
        <w:t xml:space="preserve"> </w:t>
      </w:r>
      <w:r>
        <w:rPr>
          <w:i/>
        </w:rPr>
        <w:t xml:space="preserve">Design for a Brain</w:t>
      </w:r>
      <w:r>
        <w:t xml:space="preserve"> </w:t>
      </w:r>
      <w:r>
        <w:t xml:space="preserve">(1952) worked out how a control system could find its own set points through ultrastability, isn’t cited. Neither is Kenneth Craik, whose</w:t>
      </w:r>
      <w:r>
        <w:t xml:space="preserve"> </w:t>
      </w:r>
      <w:r>
        <w:rPr>
          <w:i/>
        </w:rPr>
        <w:t xml:space="preserve">The Nature of Explanation</w:t>
      </w:r>
      <w:r>
        <w:t xml:space="preserve"> </w:t>
      </w:r>
      <w:r>
        <w:t xml:space="preserve">(1943) proposed that nervous systems build small-scale models of reality and run them ahead of events, the idea that becomes Section 3 of this document. Across every installment of the serial, neither name appears. The gap matters, because Ashby and Craik are precisely the two authors who address the questions the control framework leaves open.</w:t>
      </w:r>
    </w:p>
    <w:p>
      <w:pPr>
        <w:pStyle w:val="Heading2"/>
      </w:pPr>
      <w:bookmarkStart w:id="52" w:name="problems-with-the-control-model"/>
      <w:r>
        <w:t xml:space="preserve">2.5 Problems with the control model</w:t>
      </w:r>
      <w:bookmarkEnd w:id="52"/>
    </w:p>
    <w:p>
      <w:pPr>
        <w:pStyle w:val="FirstParagraph"/>
      </w:pPr>
      <w:r>
        <w:t xml:space="preserve">The framework is genuinely useful and it’s considerably weaker than its presentation suggests. Seven problems, in ascending order of how much they should worry you.</w:t>
      </w:r>
    </w:p>
    <w:p>
      <w:pPr>
        <w:pStyle w:val="BodyText"/>
      </w:pPr>
      <w:r>
        <w:rPr>
          <w:b/>
        </w:rPr>
        <w:t xml:space="preserve">It’s self-published and has essentially no new data.</w:t>
      </w:r>
      <w:r>
        <w:t xml:space="preserve"> </w:t>
      </w:r>
      <w:r>
        <w:rPr>
          <w:i/>
        </w:rPr>
        <w:t xml:space="preserve">The Mind in the Wheel</w:t>
      </w:r>
      <w:r>
        <w:t xml:space="preserve"> </w:t>
      </w:r>
      <w:r>
        <w:t xml:space="preserve">is a blog serial. It hasn’t been through peer review, and its authors are anonymous, which also means nobody can assess whether the reading of the primary literature is competent. More importantly, it reports no new experiments. Its strongest single piece of empirical support is a 1968 study in which Paul Rozin housed Sprague-Dawley rats with water, a salt-vitamin mix, and a liquid cafeteria of sucrose solution, thirty-percent protein solution, and corn oil. The rats held their protein intake near-constant, and when the protein solution was diluted by half or by three-quarters they drank more of it to compensate, imperfectly at the higher dilution (Rozin, 1968). That’s a real result and it’s consistent with a protein governor defending a target. It’s also a fifty-eight-year-old rat study being asked to carry a proposed paradigm for human psychology.</w:t>
      </w:r>
    </w:p>
    <w:p>
      <w:pPr>
        <w:pStyle w:val="BodyText"/>
      </w:pPr>
      <w:r>
        <w:rPr>
          <w:b/>
        </w:rPr>
        <w:t xml:space="preserve">The parliament is underspecified.</w:t>
      </w:r>
      <w:r>
        <w:t xml:space="preserve"> </w:t>
      </w:r>
      <w:r>
        <w:t xml:space="preserve">Governors, votes, weights, gates, pricing, selectors: that’s a large number of free parameters and very few constraints on how they’re set. Almost any behavioral finding can be accommodated after the fact by positing an additional governor, adjusting a weight, or invoking a gate threshold. A framework that can absorb any result isn’t thereby confirmed by any result. Nothing in the serial specifies how many governors there are, how you’d establish that two apparent drives are one governor rather than two, or what pattern of data would falsify a proposed governor’s existence. The authors are candid that this is unfinished work and explicitly ask readers to do it. That candor is to their credit. It doesn’t fill the gap.</w:t>
      </w:r>
    </w:p>
    <w:p>
      <w:pPr>
        <w:pStyle w:val="BodyText"/>
      </w:pPr>
      <w:r>
        <w:rPr>
          <w:b/>
        </w:rPr>
        <w:t xml:space="preserve">Identifying the controlled variable is genuinely hard.</w:t>
      </w:r>
      <w:r>
        <w:t xml:space="preserve"> </w:t>
      </w:r>
      <w:r>
        <w:t xml:space="preserve">That objection is practical, and it’s the place where control theory has always struggled. If behavior is variable in the service of a constant perception, you can’t read the controlled variable off the behavior, because the behavior is the part that changes. Powers’s answer was the Test for the Controlled Variable: disturb a candidate variable and see whether the organism opposes the disturbance. If it does, you’ve found something being controlled. If it doesn’t, you haven’t. Marken has developed model-based versions of the procedure (Marken, 2013, 2014). Note what happens in</w:t>
      </w:r>
      <w:r>
        <w:t xml:space="preserve"> </w:t>
      </w:r>
      <w:r>
        <w:rPr>
          <w:i/>
        </w:rPr>
        <w:t xml:space="preserve">The Mind in the Wheel</w:t>
      </w:r>
      <w:r>
        <w:t xml:space="preserve">. The authors quote Powers’s statement of the Test at length in Part X, endorse it, and then never run it. Not once, on any of the many drives they propose. The one instrument that would turn the framework into science is displayed in its case and left there.</w:t>
      </w:r>
    </w:p>
    <w:p>
      <w:pPr>
        <w:pStyle w:val="BodyText"/>
      </w:pPr>
      <w:r>
        <w:rPr>
          <w:b/>
        </w:rPr>
        <w:t xml:space="preserve">Where do set points come from?</w:t>
      </w:r>
      <w:r>
        <w:t xml:space="preserve"> </w:t>
      </w:r>
      <w:r>
        <w:t xml:space="preserve">A control system defends a reference value, and the framework has almost nothing to say about where that value originates, how it’s learned, why it differs between individuals, or how it changes. That’s no peripheral gap. A great deal of clinical work consists of trying to change what a person is defending: the standard they hold themselves to, the level of closeness they’ll tolerate, the degree of certainty they require before acting. If set points are fixed and biological, most therapy is impossible. If they’re learnable, the framework owes us an account of the learning, and it doesn’t have one. Ashby’s ultrastability was an attempt at exactly this problem, which is another reason his absence from the bibliography is unfortunate.</w:t>
      </w:r>
    </w:p>
    <w:p>
      <w:pPr>
        <w:pStyle w:val="BodyText"/>
      </w:pPr>
      <w:r>
        <w:rPr>
          <w:b/>
        </w:rPr>
        <w:t xml:space="preserve">There’s no natural account of belief, meaning, or narrative.</w:t>
      </w:r>
      <w:r>
        <w:t xml:space="preserve"> </w:t>
      </w:r>
      <w:r>
        <w:t xml:space="preserve">A thermostat has no beliefs. It has a reading and a reference. Extend that to a person and you get a compelling account of drive, motivation, and the arbitration between competing needs, alongside an almost empty account of the material clinicians actually spend their hours on. A patient’s conviction that she is fundamentally unlovable is not a set point, not obviously an error signal, and not a sensor reading. It’s a proposition with content, connected to other propositions, revisable by evidence and argument, and organized into a story about a life. The control framework can gesture at this by stacking hierarchies of perceptual control until the higher levels are abstract enough to look belief-like, which is what Powers did. Whether that gesture is an explanation or a relabeling is exactly the open question, and the framework as it stands doesn’t settle it.</w:t>
      </w:r>
    </w:p>
    <w:p>
      <w:pPr>
        <w:pStyle w:val="BodyText"/>
      </w:pPr>
      <w:r>
        <w:rPr>
          <w:b/>
        </w:rPr>
        <w:t xml:space="preserve">Cybernetics lost, and the reasons were mixed.</w:t>
      </w:r>
      <w:r>
        <w:t xml:space="preserve"> </w:t>
      </w:r>
      <w:r>
        <w:t xml:space="preserve">Between the late 1940s and the mid-1970s, cybernetics went from the most exciting idea in the human sciences to a historical curiosity, and cognitive psychology, with its representations, its information processing, and its computer metaphor, took the field. Honesty requires saying that this happened partly for bad reasons. The timing was poor: Powers published in 1973, deep into the cognitive revolution, into an audience with no room for him. The framing was poor: cybernetics arrived wrapped in grand unification claims across biology, engineering, sociology, and management that made careful scientists wince, and the language of</w:t>
      </w:r>
      <w:r>
        <w:t xml:space="preserve"> </w:t>
      </w:r>
      <w:r>
        <w:t xml:space="preserve">“</w:t>
      </w:r>
      <w:r>
        <w:t xml:space="preserve">dynamics</w:t>
      </w:r>
      <w:r>
        <w:t xml:space="preserve">”</w:t>
      </w:r>
      <w:r>
        <w:t xml:space="preserve"> </w:t>
      </w:r>
      <w:r>
        <w:t xml:space="preserve">and</w:t>
      </w:r>
      <w:r>
        <w:t xml:space="preserve"> </w:t>
      </w:r>
      <w:r>
        <w:t xml:space="preserve">“</w:t>
      </w:r>
      <w:r>
        <w:t xml:space="preserve">purpose</w:t>
      </w:r>
      <w:r>
        <w:t xml:space="preserve">”</w:t>
      </w:r>
      <w:r>
        <w:t xml:space="preserve"> </w:t>
      </w:r>
      <w:r>
        <w:t xml:space="preserve">carried a whiff of psychoanalysis at exactly the moment academic psychology was working hardest to smell of anything else. Interdisciplinary programs with no departmental home tend to lose funding battles to programs with one.</w:t>
      </w:r>
    </w:p>
    <w:p>
      <w:pPr>
        <w:pStyle w:val="BodyText"/>
      </w:pPr>
      <w:r>
        <w:t xml:space="preserve">But it also lost for a good reason, and that shouldn’t be dressed up. Over roughly three decades, it under-delivered. The framework generated far more diagrams than experiments, far more reinterpretation of existing findings than new ones, and a very small number of quantitative predictions that anyone went out and tested. Powers’s own tracking experiments produced correlations between model and behavior that are genuinely remarkable and that almost nobody outside the tradition has replicated or extended. This is where an engineer’s habits are worth borrowing. You estimate from experience, you build the thing, you instrument it, and you let the data outrank the argument you fell in love with. A framework that keeps explaining and rarely predicts eventually loses, and it should. The current revival deserves the same standard.</w:t>
      </w:r>
    </w:p>
    <w:p>
      <w:pPr>
        <w:pStyle w:val="BodyText"/>
      </w:pPr>
      <w:r>
        <w:rPr>
          <w:b/>
        </w:rPr>
        <w:t xml:space="preserve">Control systems can imitate prediction, which cuts both ways.</w:t>
      </w:r>
      <w:r>
        <w:t xml:space="preserve"> </w:t>
      </w:r>
      <w:r>
        <w:t xml:space="preserve">Mansell, Gulrez, and Landman argue in</w:t>
      </w:r>
      <w:r>
        <w:t xml:space="preserve"> </w:t>
      </w:r>
      <w:r>
        <w:rPr>
          <w:i/>
        </w:rPr>
        <w:t xml:space="preserve">Current Opinion in Behavioral Sciences</w:t>
      </w:r>
      <w:r>
        <w:t xml:space="preserve"> </w:t>
      </w:r>
      <w:r>
        <w:t xml:space="preserve">that a pure negative-feedback control system, containing no forward model and predicting nothing, will nonetheless generate behavior that an outside observer confidently describes as anticipatory (Mansell, Gulrez, &amp; Landman, 2025). Their title is</w:t>
      </w:r>
      <w:r>
        <w:t xml:space="preserve"> </w:t>
      </w:r>
      <w:r>
        <w:t xml:space="preserve">“</w:t>
      </w:r>
      <w:r>
        <w:t xml:space="preserve">The prediction illusion.</w:t>
      </w:r>
      <w:r>
        <w:t xml:space="preserve">”</w:t>
      </w:r>
      <w:r>
        <w:t xml:space="preserve"> </w:t>
      </w:r>
      <w:r>
        <w:t xml:space="preserve">An organism that keeps a variable near its reference will appear to have foreseen the disturbance it was in fact merely opposing, because the correction begins before the observer notices the perturbation. If they’re right, a substantial body of evidence taken to demonstrate a predictive brain is equally consistent with a controlling one.</w:t>
      </w:r>
    </w:p>
    <w:p>
      <w:pPr>
        <w:pStyle w:val="BodyText"/>
      </w:pPr>
      <w:r>
        <w:t xml:space="preserve">Read that carefully in both directions before you use it. It undercuts confident predictive-processing interpretations of behavioral data, and it undercuts confident control-theoretic ones by exactly the same logic, because if the two architectures generate observationally equivalent behavior, no amount of that behavior will tell you which one you’re looking at. Take what Mansell and colleagues found as a warning rather than a win for control theory. The discriminating experiments have largely not been done, and a clinician choosing between these two accounts on the basis of the published behavioral evidence is choosing on other grounds.</w:t>
      </w:r>
    </w:p>
    <w:p>
      <w:pPr>
        <w:pStyle w:val="BodyText"/>
      </w:pPr>
      <w:r>
        <w:t xml:space="preserve">That’s the honest position going into Section 3. The control model gives you a precise vocabulary for regulation, a real taxonomy of failure, and a serious argument that symptom-cluster diagnosis conceals mechanism. It doesn’t give you belief, it doesn’t give you learning, it doesn’t give you set points, and it hasn’t yet earned the empirical standing its more confident advocates claim for it.</w:t>
      </w:r>
    </w:p>
    <w:p>
      <w:r>
        <w:pict>
          <v:rect style="width:0;height:1.5pt" o:hralign="center" o:hrstd="t" o:hr="t"/>
        </w:pict>
      </w:r>
    </w:p>
    <w:p>
      <w:r>
        <w:br w:type="page"/>
      </w:r>
    </w:p>
    <w:p>
      <w:pPr>
        <w:pStyle w:val="Heading1"/>
      </w:pPr>
      <w:bookmarkStart w:id="53" w:name="the-mind-as-a-prediction-machine"/>
      <w:r>
        <w:t xml:space="preserve">3. The Mind as a Prediction Machine</w:t>
      </w:r>
      <w:bookmarkEnd w:id="53"/>
    </w:p>
    <w:p>
      <w:pPr>
        <w:pStyle w:val="Heading2"/>
      </w:pPr>
      <w:bookmarkStart w:id="54" w:name="perception-as-inference"/>
      <w:r>
        <w:t xml:space="preserve">3.1 Perception as inference</w:t>
      </w:r>
      <w:bookmarkEnd w:id="54"/>
    </w:p>
    <w:p>
      <w:pPr>
        <w:pStyle w:val="FirstParagraph"/>
      </w:pPr>
      <w:r>
        <w:t xml:space="preserve">Close your left eye. Hold your right thumb out at arm’s length and look at it steadily. Now move the thumb slowly to the right, fifteen or twenty degrees, keeping your gaze fixed straight ahead. At some point your thumb disappears. It doesn’t blur. It’s gone. Move it a little further and it comes back.</w:t>
      </w:r>
    </w:p>
    <w:p>
      <w:pPr>
        <w:pStyle w:val="BodyText"/>
      </w:pPr>
      <w:r>
        <w:t xml:space="preserve">That’s the blind spot, the patch of retina where the optic nerve leaves the eye and there are no photoreceptors at all. Every eye has one, roughly the size of nine full moons laid side by side, and you have never noticed it.</w:t>
      </w:r>
    </w:p>
    <w:p>
      <w:pPr>
        <w:pStyle w:val="BodyText"/>
      </w:pPr>
      <w:r>
        <w:t xml:space="preserve">The absence isn’t the interesting part. What fills it is.</w:t>
      </w:r>
    </w:p>
    <w:p>
      <w:pPr>
        <w:pStyle w:val="BodyText"/>
      </w:pPr>
      <w:r>
        <w:t xml:space="preserve">You don’t perceive a black disc, or a gray smudge, or a hole. If your thumb vanishes against striped wallpaper, you see continuous stripes. The visual system never reports missing data. It supplies the most likely answer and hands that answer over with no marking to separate it from anything else you’re seeing.</w:t>
      </w:r>
    </w:p>
    <w:p>
      <w:pPr>
        <w:pStyle w:val="BodyText"/>
      </w:pPr>
      <w:r>
        <w:t xml:space="preserve">The blind spot is the demonstration everybody knows. The pattern it reveals is everywhere once you look for it.</w:t>
      </w:r>
    </w:p>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Aside… if you have read Plato's The Allegory of the Cave, this is kind of congruent with that… but enough intellectualizing here….</w:t>
            </w:r>
          </w:p>
        </w:tc>
      </w:tr>
    </w:tbl>
    <w:p>
      <w:pPr>
        <w:pStyle w:val="BodyText"/>
      </w:pPr>
      <w:r>
        <w:drawing>
          <wp:inline>
            <wp:extent cx="5334000" cy="3001856"/>
            <wp:effectExtent b="0" l="0" r="0" t="0"/>
            <wp:docPr descr="" title="" id="1" name="Picture"/>
            <a:graphic>
              <a:graphicData uri="http://schemas.openxmlformats.org/drawingml/2006/picture">
                <pic:pic>
                  <pic:nvPicPr>
                    <pic:cNvPr descr="figures/fig-3-3-plato-cave.png" id="0" name="Picture"/>
                    <pic:cNvPicPr>
                      <a:picLocks noChangeArrowheads="1" noChangeAspect="1"/>
                    </pic:cNvPicPr>
                  </pic:nvPicPr>
                  <pic:blipFill>
                    <a:blip r:embed="rId55"/>
                    <a:stretch>
                      <a:fillRect/>
                    </a:stretch>
                  </pic:blipFill>
                  <pic:spPr bwMode="auto">
                    <a:xfrm>
                      <a:off x="0" y="0"/>
                      <a:ext cx="5334000" cy="3001856"/>
                    </a:xfrm>
                    <a:prstGeom prst="rect">
                      <a:avLst/>
                    </a:prstGeom>
                    <a:noFill/>
                    <a:ln w="9525">
                      <a:noFill/>
                      <a:headEnd/>
                      <a:tailEnd/>
                    </a:ln>
                  </pic:spPr>
                </pic:pic>
              </a:graphicData>
            </a:graphic>
          </wp:inline>
        </w:drawing>
      </w:r>
    </w:p>
    <w:p>
      <w:pPr>
        <w:pStyle w:val="BodyText"/>
      </w:pPr>
      <w:r>
        <w:rPr>
          <w:i/>
        </w:rPr>
        <w:t xml:space="preserve">Figure 3.1. The allegory of the cave. The prisoners are chained facing a wall, a fire burns behind them, and carried objects throw shadows onto the wall in front of them. What they see are the shadows, not the objects casting them, and they take the shadows for the world.</w:t>
      </w:r>
    </w:p>
    <w:p>
      <w:pPr>
        <w:pStyle w:val="BodyText"/>
      </w:pPr>
      <w:r>
        <w:t xml:space="preserve">The congruence is closer than a loose analogy. The prisoners are not making an error of reasoning. Their inference is correct given the evidence reaching them, and the evidence reaching them is a projection rather than the thing itself. That is the predictive account of perception in a sentence, arrived at roughly twenty-four centuries early. What the modern version adds is the machinery: the shadows are the sensory input, the prior is what the prisoner already expects a shadow to mean, and precision is how much authority the shadow gets against that expectation. Plato’s prisoner freed and turned toward the fire is a prior being violated hard enough to update, which is why it hurts and why he resists it.</w:t>
      </w:r>
    </w:p>
    <w:p>
      <w:pPr>
        <w:pStyle w:val="BodyText"/>
      </w:pPr>
      <w:r>
        <w:t xml:space="preserve">You’re at a party, loud enough that you can’t follow the conversation two feet away, and somebody across the room says your name, and you hear it perfectly. The signal carrying your name was no louder and no cleaner than the noise that swallowed everything else. What made it audible is that your name is a hypothesis your auditory system holds ready at all times, so a fragment of degraded evidence is enough to trigger it. The corollary comes free: you sometimes hear your name when nobody said it. Same mechanism, running on too little evidence.</w:t>
      </w:r>
    </w:p>
    <w:p>
      <w:pPr>
        <w:pStyle w:val="BodyText"/>
      </w:pPr>
      <w:r>
        <w:t xml:space="preserve">You have walked down a staircase in the dark, reached the bottom, and taken one more step that wasn’t there. The jolt is disproportionate and unmistakable, and nothing hit you. Your motor system issued a prediction (floor, at this height, in one hundred milliseconds) and the prediction was violated. The lurch you felt was the size of the mismatch.</w:t>
      </w:r>
    </w:p>
    <w:p>
      <w:pPr>
        <w:pStyle w:val="BodyText"/>
      </w:pPr>
      <w:r>
        <w:t xml:space="preserve">And then there’s the dress. In 2015 a photograph of a striped garment divided the internet into people who saw it as white and gold and people who saw it as blue and black, each group finding the other’s report literally unbelievable. Lafer-Sousa, Hermann, and Conway measured the split and located its source: the image is genuinely ambiguous about the color of the light falling on the dress, and observers resolve that ambiguity using an implicit assumption about the illumination (Lafer-Sousa, Hermann, &amp; Conway, 2015). Assume warm indoor light and the brain discounts yellow, leaving blue and black; assume cool daylight and it discounts blue, leaving white and gold. Same photons, same retinas, different assumption, different color. Not different opinions about the color. Different color, seen.</w:t>
      </w:r>
    </w:p>
    <w:p>
      <w:pPr>
        <w:pStyle w:val="BodyText"/>
      </w:pPr>
      <w:r>
        <w:t xml:space="preserve">Hermann von Helmholtz named this in the 1860s and nobody has improved on his term:</w:t>
      </w:r>
      <w:r>
        <w:t xml:space="preserve"> </w:t>
      </w:r>
      <w:r>
        <w:rPr>
          <w:b/>
        </w:rPr>
        <w:t xml:space="preserve">unconscious inference</w:t>
      </w:r>
      <w:r>
        <w:t xml:space="preserve">. The eye receives a two-dimensional pattern of light intensities, and such a pattern is compatible with an infinite number of three-dimensional scenes. Something has to choose. The visual system chooses by combining the sensory evidence with what it already knows about how the world tends to be arranged (light comes from above, surfaces are usually opaque, objects tend to be rigid) and the choosing happens beneath awareness, fast, with no experience of having chosen. What reaches you is the conclusion, delivered as though it were the premise.</w:t>
      </w:r>
    </w:p>
    <w:p>
      <w:pPr>
        <w:pStyle w:val="BodyText"/>
      </w:pPr>
      <w:r>
        <w:t xml:space="preserve">The claim to carry forward is this:</w:t>
      </w:r>
      <w:r>
        <w:t xml:space="preserve"> </w:t>
      </w:r>
      <w:r>
        <w:rPr>
          <w:b/>
        </w:rPr>
        <w:t xml:space="preserve">perception is a construction. It’s the brain’s best guess about the causes of its sensory input, constrained by the evidence but not determined by it.</w:t>
      </w:r>
      <w:r>
        <w:t xml:space="preserve"> </w:t>
      </w:r>
      <w:r>
        <w:t xml:space="preserve">Everything you see, hear, and feel is a hypothesis the data haven’t yet overturned.</w:t>
      </w:r>
    </w:p>
    <w:p>
      <w:pPr>
        <w:pStyle w:val="BodyText"/>
      </w:pPr>
      <w:r>
        <w:t xml:space="preserve">I want to flag something here, because it runs under the rest of this section and it comes back hard in 3.6. I spent years as an engineer before I ever sat with a client, and the finding that took me longest to accept is that people don’t reason their way to a position and then develop feelings about it. They decide emotionally and then manufacture a logical-sounding case for what they already chose. A Vulcan couldn’t run a real business, because rationalization runs in front of logic in every room I’ve worked in, including the ones full of very smart people. What Helmholtz described is that same order of operations one level down, in the wiring. The guess goes first. The evidence gets a vote, not a veto.</w:t>
      </w:r>
    </w:p>
    <w:p>
      <w:pPr>
        <w:pStyle w:val="BodyText"/>
      </w:pPr>
      <w:r>
        <w:t xml:space="preserve">One discipline corrects for it, and I’ve watched it work on an airframe and in a treatment plan. Estimate from experience, TEST, evaluate the result without flinching, and let the data outrank the argument you fell in love with. Hold that standard. In 3.6 we apply it to this framework itself.</w:t>
      </w:r>
    </w:p>
    <w:p>
      <w:pPr>
        <w:pStyle w:val="Heading2"/>
      </w:pPr>
      <w:bookmarkStart w:id="56" w:name="prediction-error"/>
      <w:r>
        <w:t xml:space="preserve">3.2 Prediction error</w:t>
      </w:r>
      <w:bookmarkEnd w:id="56"/>
    </w:p>
    <w:p>
      <w:pPr>
        <w:pStyle w:val="FirstParagraph"/>
      </w:pPr>
      <w:r>
        <w:t xml:space="preserve">If the brain is generating guesses, something has to keep the guesses honest. That something is the mismatch.</w:t>
      </w:r>
    </w:p>
    <w:p>
      <w:pPr>
        <w:pStyle w:val="BodyText"/>
      </w:pPr>
      <w:r>
        <w:t xml:space="preserve">The standard formulation reverses the flow you were probably taught. In the textbook picture, information enters at the sensory surface and travels upward through successively more abstract stages until it becomes perception at the top. In the predictive picture, the dominant traffic runs the other way. Higher regions send</w:t>
      </w:r>
      <w:r>
        <w:t xml:space="preserve"> </w:t>
      </w:r>
      <w:r>
        <w:rPr>
          <w:b/>
        </w:rPr>
        <w:t xml:space="preserve">predictions downward</w:t>
      </w:r>
      <w:r>
        <w:t xml:space="preserve">, a running account of what the level below should be receiving, given the current hypothesis about what’s out there. Lower regions compare the prediction against what they actually got, and send</w:t>
      </w:r>
      <w:r>
        <w:t xml:space="preserve"> </w:t>
      </w:r>
      <w:r>
        <w:rPr>
          <w:b/>
        </w:rPr>
        <w:t xml:space="preserve">only the difference upward</w:t>
      </w:r>
      <w:r>
        <w:t xml:space="preserve">. What ascends is the part of the signal nobody anticipated: the</w:t>
      </w:r>
      <w:r>
        <w:t xml:space="preserve"> </w:t>
      </w:r>
      <w:r>
        <w:rPr>
          <w:b/>
        </w:rPr>
        <w:t xml:space="preserve">prediction error</w:t>
      </w:r>
      <w:r>
        <w:t xml:space="preserve">.</w:t>
      </w:r>
    </w:p>
    <w:p>
      <w:pPr>
        <w:pStyle w:val="BodyText"/>
      </w:pPr>
      <w:r>
        <w:t xml:space="preserve">Rao and Ballard gave this its influential neural formulation in 1999. They built a hierarchical model of visual cortex in which feedback connections carried predictions and feedforward connections carried residual error, trained it on natural images, and found it reproduced a set of otherwise puzzling findings, in particular end-stopping and other extra-classical receptive field effects, where a neuron’s response to a stimulus in its receptive field is suppressed by context outside it (Rao &amp; Ballard, 1999). Their explanation was direct: the surrounding context lets the higher level predict what the neuron should be seeing, the prediction is subtracted, and the neuron falls silent because it has nothing new to report. Context suppression, on this reading, is what successful prediction looks like from the outside.</w:t>
      </w:r>
    </w:p>
    <w:p>
      <w:pPr>
        <w:pStyle w:val="BodyText"/>
      </w:pPr>
      <w:r>
        <w:drawing>
          <wp:inline>
            <wp:extent cx="5334000" cy="3384087"/>
            <wp:effectExtent b="0" l="0" r="0" t="0"/>
            <wp:docPr descr="" title="" id="1" name="Picture"/>
            <a:graphic>
              <a:graphicData uri="http://schemas.openxmlformats.org/drawingml/2006/picture">
                <pic:pic>
                  <pic:nvPicPr>
                    <pic:cNvPr descr="figures/fig-3-1-hierarchy.png" id="0" name="Picture"/>
                    <pic:cNvPicPr>
                      <a:picLocks noChangeArrowheads="1" noChangeAspect="1"/>
                    </pic:cNvPicPr>
                  </pic:nvPicPr>
                  <pic:blipFill>
                    <a:blip r:embed="rId57"/>
                    <a:stretch>
                      <a:fillRect/>
                    </a:stretch>
                  </pic:blipFill>
                  <pic:spPr bwMode="auto">
                    <a:xfrm>
                      <a:off x="0" y="0"/>
                      <a:ext cx="5334000" cy="3384087"/>
                    </a:xfrm>
                    <a:prstGeom prst="rect">
                      <a:avLst/>
                    </a:prstGeom>
                    <a:noFill/>
                    <a:ln w="9525">
                      <a:noFill/>
                      <a:headEnd/>
                      <a:tailEnd/>
                    </a:ln>
                  </pic:spPr>
                </pic:pic>
              </a:graphicData>
            </a:graphic>
          </wp:inline>
        </w:drawing>
      </w:r>
    </w:p>
    <w:p>
      <w:pPr>
        <w:pStyle w:val="BodyText"/>
      </w:pPr>
      <w:r>
        <w:rPr>
          <w:i/>
        </w:rPr>
        <w:t xml:space="preserve">Figure 3.2. Predictions descend, prediction errors ascend.</w:t>
      </w:r>
    </w:p>
    <w:p>
      <w:pPr>
        <w:pStyle w:val="BodyText"/>
      </w:pPr>
      <w:r>
        <w:t xml:space="preserve">The efficiency argument is easy to feel. Most of what strikes your senses in any given second is exactly what struck them the second before, and transmitting only the departures from expectation compresses the traffic enormously, with the useful side effect that whatever does get passed along is automatically the part worth attending to.</w:t>
      </w:r>
    </w:p>
    <w:p>
      <w:pPr>
        <w:pStyle w:val="BodyText"/>
      </w:pPr>
      <w:r>
        <w:t xml:space="preserve">The word</w:t>
      </w:r>
      <w:r>
        <w:t xml:space="preserve"> </w:t>
      </w:r>
      <w:r>
        <w:rPr>
          <w:b/>
        </w:rPr>
        <w:t xml:space="preserve">surprise</w:t>
      </w:r>
      <w:r>
        <w:t xml:space="preserve"> </w:t>
      </w:r>
      <w:r>
        <w:t xml:space="preserve">needs pinning down here, because the technical sense is narrower than the everyday one. Surprise in this literature is a quantity: how improbable the sensory input was under the model the system currently holds. It has nothing to do with the feeling of astonishment. Something can be highly surprising in that sense while producing no conscious experience of surprise at all, and much of what your brain treats as surprising never reaches awareness. Run it the other way and you can feel startled by something your visual system predicted perfectly well. Keep the two apart.</w:t>
      </w:r>
    </w:p>
    <w:p>
      <w:pPr>
        <w:pStyle w:val="BodyText"/>
      </w:pPr>
      <w:r>
        <w:t xml:space="preserve">Clinicians already know a version of this idea, though probably not under this name.</w:t>
      </w:r>
    </w:p>
    <w:p>
      <w:pPr>
        <w:pStyle w:val="BodyText"/>
      </w:pPr>
      <w:r>
        <w:t xml:space="preserve">In 1997, Schultz, Dayan, and Montague published one of the most cited papers in behavioral neuroscience (Schultz, Dayan, &amp; Montague, 1997). Recording from midbrain dopamine neurons in monkeys learning to associate a cue with a juice reward, they found a pattern that had confused the field. Early in training, the neurons fired to the juice. After learning, they stopped firing to the juice and fired instead to the cue that predicted it. And if the cue appeared and the juice didn’t arrive, the neurons went silent at exactly the moment the juice was due, a dip below baseline, precisely timed.</w:t>
      </w:r>
    </w:p>
    <w:p>
      <w:pPr>
        <w:pStyle w:val="BodyText"/>
      </w:pPr>
      <w:r>
        <w:t xml:space="preserve">What dopamine tracks is the difference between the reward received and the reward expected:</w:t>
      </w:r>
      <w:r>
        <w:t xml:space="preserve"> </w:t>
      </w:r>
      <w:r>
        <w:rPr>
          <w:b/>
        </w:rPr>
        <w:t xml:space="preserve">reward prediction error</w:t>
      </w:r>
      <w:r>
        <w:t xml:space="preserve">. An unexpected reward produces a burst; a fully predicted reward produces nothing, because nothing was learned; an expected reward that fails to arrive produces a negative signal. The neurons were computing a subtraction, and the quantity they computed was formally the same as the error term Rescorla and Wagner had inferred from animal learning data a quarter-century earlier (Rescorla, 1972).</w:t>
      </w:r>
    </w:p>
    <w:p>
      <w:pPr>
        <w:pStyle w:val="BodyText"/>
      </w:pPr>
      <w:r>
        <w:t xml:space="preserve">This matters here for one reason. Most clinicians already accept the reward prediction error account, because it underpins how we talk about reinforcement, addiction, anhedonia, and behavioral activation. That account is the same idea as predictive coding, applied to value instead of sensation. If you already believe the brain learns about reward by tracking the gap between expectation and outcome, you’ve already accepted the architecture. The predictive processing claim is simply that this is the operating principle of the cortex and not a special-purpose reward circuit.</w:t>
      </w:r>
    </w:p>
    <w:p>
      <w:pPr>
        <w:pStyle w:val="Heading2"/>
      </w:pPr>
      <w:bookmarkStart w:id="58" w:name="X6e1eb9623a1c8d2b51bbafb24fb299269d25587"/>
      <w:r>
        <w:t xml:space="preserve">3.3 Precision: the concept the whole document turns on</w:t>
      </w:r>
      <w:bookmarkEnd w:id="58"/>
    </w:p>
    <w:p>
      <w:pPr>
        <w:pStyle w:val="FirstParagraph"/>
      </w:pPr>
      <w:r>
        <w:t xml:space="preserve">Everything so far can be stated without much subtlety. This next idea can’t, and it’s the one that does the clinical work.</w:t>
      </w:r>
    </w:p>
    <w:p>
      <w:pPr>
        <w:pStyle w:val="BodyText"/>
      </w:pPr>
      <w:r>
        <w:t xml:space="preserve">You’re trying to identify a bird, and someone hands you a photograph. If the photograph is sharp, every feather, the exact shade of the throat patch, the shape of the bill, then whatever you thought the bird was before hardly matters. The evidence is good and it should dominate. If the photograph is a smeared gray blur taken through a rainy window, it should barely move you at all; you should mostly go on where you were standing, what season it is, and what birds are common there. The blurry photograph still counts as evidence. It counts as</w:t>
      </w:r>
      <w:r>
        <w:t xml:space="preserve"> </w:t>
      </w:r>
      <w:r>
        <w:rPr>
          <w:i/>
        </w:rPr>
        <w:t xml:space="preserve">weak</w:t>
      </w:r>
      <w:r>
        <w:t xml:space="preserve"> </w:t>
      </w:r>
      <w:r>
        <w:t xml:space="preserve">evidence, and the rational move is to weight it accordingly.</w:t>
      </w:r>
    </w:p>
    <w:p>
      <w:pPr>
        <w:pStyle w:val="BodyText"/>
      </w:pPr>
      <w:r>
        <w:t xml:space="preserve">That weighting is what the field calls</w:t>
      </w:r>
      <w:r>
        <w:t xml:space="preserve"> </w:t>
      </w:r>
      <w:r>
        <w:rPr>
          <w:b/>
        </w:rPr>
        <w:t xml:space="preserve">precision</w:t>
      </w:r>
      <w:r>
        <w:t xml:space="preserve">. Precision is the system’s estimate of how reliable a signal is, meaning how much to trust it. Formally it’s the inverse of expected variance. Practically it’s confidence, and it’s assigned separately to predictions and to incoming evidence.</w:t>
      </w:r>
    </w:p>
    <w:p>
      <w:pPr>
        <w:pStyle w:val="BodyText"/>
      </w:pPr>
      <w:r>
        <w:t xml:space="preserve">Four terms carry the entire machinery. In plain language:</w:t>
      </w:r>
    </w:p>
    <w:p>
      <w:pPr>
        <w:pStyle w:val="BodyText"/>
      </w:pPr>
      <w:r>
        <w:rPr>
          <w:b/>
        </w:rPr>
        <w:t xml:space="preserve">Prior:</w:t>
      </w:r>
      <w:r>
        <w:t xml:space="preserve"> </w:t>
      </w:r>
      <w:r>
        <w:t xml:space="preserve">what the system expected before any evidence arrived.</w:t>
      </w:r>
    </w:p>
    <w:p>
      <w:pPr>
        <w:pStyle w:val="BodyText"/>
      </w:pPr>
      <w:r>
        <w:rPr>
          <w:b/>
        </w:rPr>
        <w:t xml:space="preserve">Likelihood:</w:t>
      </w:r>
      <w:r>
        <w:t xml:space="preserve"> </w:t>
      </w:r>
      <w:r>
        <w:t xml:space="preserve">how well the incoming evidence fits a given hypothesis.</w:t>
      </w:r>
    </w:p>
    <w:p>
      <w:pPr>
        <w:pStyle w:val="BodyText"/>
      </w:pPr>
      <w:r>
        <w:rPr>
          <w:b/>
        </w:rPr>
        <w:t xml:space="preserve">Prediction error:</w:t>
      </w:r>
      <w:r>
        <w:t xml:space="preserve"> </w:t>
      </w:r>
      <w:r>
        <w:t xml:space="preserve">the part of the input the prediction failed to cover.</w:t>
      </w:r>
    </w:p>
    <w:p>
      <w:pPr>
        <w:pStyle w:val="BodyText"/>
      </w:pPr>
      <w:r>
        <w:rPr>
          <w:b/>
        </w:rPr>
        <w:t xml:space="preserve">Precision:</w:t>
      </w:r>
      <w:r>
        <w:t xml:space="preserve"> </w:t>
      </w:r>
      <w:r>
        <w:t xml:space="preserve">how much the system trusts a signal, assigned separately to the prediction and to the evidence.</w:t>
      </w:r>
    </w:p>
    <w:p>
      <w:pPr>
        <w:pStyle w:val="BodyText"/>
      </w:pPr>
      <w:r>
        <w:t xml:space="preserve">Here’s the relation the rest of this document depends on, stated in words rather than symbols:</w:t>
      </w:r>
    </w:p>
    <w:p>
      <w:pPr>
        <w:pStyle w:val="BlockText"/>
      </w:pPr>
      <w:r>
        <w:rPr>
          <w:b/>
        </w:rPr>
        <w:t xml:space="preserve">What you end up believing is a weighted blend of what you expected and what you sensed, and the weights are how much you trust each one.</w:t>
      </w:r>
      <w:r>
        <w:t xml:space="preserve"> </w:t>
      </w:r>
      <w:r>
        <w:t xml:space="preserve">Trust the prediction more than the evidence, and perception drifts toward expectation. Trust the evidence more than the prediction, and perception is dragged toward the input.</w:t>
      </w:r>
    </w:p>
    <w:p>
      <w:pPr>
        <w:pStyle w:val="FirstParagraph"/>
      </w:pPr>
      <w:r>
        <w:t xml:space="preserve">Two things follow immediately, and both should be uncomfortable.</w:t>
      </w:r>
    </w:p>
    <w:p>
      <w:pPr>
        <w:pStyle w:val="BodyText"/>
      </w:pPr>
      <w:r>
        <w:t xml:space="preserve">The first is that identical evidence produces different perceptions in different people, without either of them being irrational, if they assign different precision to it. The second is that a system can generate a false percept in two entirely different ways: by holding its prior too confidently, or by treating its sensory evidence as too unreliable. Behaviorally these can look the same. We come back to that in 3.6, because it’s a deeper problem than it first appears.</w:t>
      </w:r>
    </w:p>
    <w:p>
      <w:pPr>
        <w:pStyle w:val="BodyText"/>
      </w:pPr>
      <w:r>
        <w:drawing>
          <wp:inline>
            <wp:extent cx="5334000" cy="1724890"/>
            <wp:effectExtent b="0" l="0" r="0" t="0"/>
            <wp:docPr descr="" title="" id="1" name="Picture"/>
            <a:graphic>
              <a:graphicData uri="http://schemas.openxmlformats.org/drawingml/2006/picture">
                <pic:pic>
                  <pic:nvPicPr>
                    <pic:cNvPr descr="figures/fig-3-2-precision.png" id="0" name="Picture"/>
                    <pic:cNvPicPr>
                      <a:picLocks noChangeArrowheads="1" noChangeAspect="1"/>
                    </pic:cNvPicPr>
                  </pic:nvPicPr>
                  <pic:blipFill>
                    <a:blip r:embed="rId59"/>
                    <a:stretch>
                      <a:fillRect/>
                    </a:stretch>
                  </pic:blipFill>
                  <pic:spPr bwMode="auto">
                    <a:xfrm>
                      <a:off x="0" y="0"/>
                      <a:ext cx="5334000" cy="1724890"/>
                    </a:xfrm>
                    <a:prstGeom prst="rect">
                      <a:avLst/>
                    </a:prstGeom>
                    <a:noFill/>
                    <a:ln w="9525">
                      <a:noFill/>
                      <a:headEnd/>
                      <a:tailEnd/>
                    </a:ln>
                  </pic:spPr>
                </pic:pic>
              </a:graphicData>
            </a:graphic>
          </wp:inline>
        </w:drawing>
      </w:r>
    </w:p>
    <w:p>
      <w:pPr>
        <w:pStyle w:val="BodyText"/>
      </w:pPr>
      <w:r>
        <w:rPr>
          <w:i/>
        </w:rPr>
        <w:t xml:space="preserve">Figure 3.3. Precision weighting: the same evidence, three different levels of trust.</w:t>
      </w:r>
    </w:p>
    <w:p>
      <w:pPr>
        <w:pStyle w:val="BodyText"/>
      </w:pPr>
      <w:r>
        <w:t xml:space="preserve">The move that made this concept indispensable was Feldman and Friston’s proposal that</w:t>
      </w:r>
      <w:r>
        <w:t xml:space="preserve"> </w:t>
      </w:r>
      <w:r>
        <w:rPr>
          <w:b/>
        </w:rPr>
        <w:t xml:space="preserve">attention just is the assignment of precision to sensory channels</w:t>
      </w:r>
      <w:r>
        <w:t xml:space="preserve"> </w:t>
      </w:r>
      <w:r>
        <w:t xml:space="preserve">(Feldman &amp; Friston, 2010). When you attend to something, on this account, you aren’t shining a spotlight on it or moving a limited resource around. You’re raising your estimate of how reliable that channel is, which raises the gain on its prediction errors, which lets it exert more influence over what you end up perceiving. Feldman and Friston showed that a model doing this reproduced classic attention findings, the Posner cueing effect with its costs and benefits, and the pattern in the Posner paradigm where invalidly cued targets are responded to slowly, without any separate attention module.</w:t>
      </w:r>
    </w:p>
    <w:p>
      <w:pPr>
        <w:pStyle w:val="BodyText"/>
      </w:pPr>
      <w:r>
        <w:t xml:space="preserve">Attention becomes a control parameter rather than a faculty. Something that felt like a psychological capacity turns into a setting on a signal-weighting mechanism, and settings can be miscalibrated in ways faculties cannot.</w:t>
      </w:r>
    </w:p>
    <w:p>
      <w:pPr>
        <w:pStyle w:val="BodyText"/>
      </w:pPr>
      <w:r>
        <w:t xml:space="preserve">The obvious next question is what implements precision in the brain, and the honest answer is that the mapping is loose. The usual candidates are the neuromodulators. Dopamine is the most frequently named, generally cast as encoding the precision of beliefs about policies or the reliability of higher-level expectations. Acetylcholine is often assigned the precision of sensory evidence, and noradrenaline the estimate of environmental volatility, meaning how quickly the world is changing and therefore how much old information should be discarded. That division traces back to Yu and Dayan’s distinction between expected and unexpected uncertainty (Yu &amp; Dayan, 2005) and has been extended within the active inference literature (Parr &amp; Friston, 2017).</w:t>
      </w:r>
    </w:p>
    <w:p>
      <w:pPr>
        <w:pStyle w:val="BodyText"/>
      </w:pPr>
      <w:r>
        <w:t xml:space="preserve">Treat this scheme with real caution. Each of these transmitters has many functions across many systems, the assignments differ between authors, and the evidence is largely indirect: pharmacological manipulations with broad effects, computational fits to behavior, and inference from lesion and disease states. Nothing in the literature approaches a demonstration that a specific neuromodulator implements a specific precision parameter in a specific circuit. The mapping is a working hypothesis presented, in a good deal of that literature, with more confidence than it has earned. When you read that a drug</w:t>
      </w:r>
      <w:r>
        <w:t xml:space="preserve"> </w:t>
      </w:r>
      <w:r>
        <w:t xml:space="preserve">“</w:t>
      </w:r>
      <w:r>
        <w:t xml:space="preserve">increases sensory precision,</w:t>
      </w:r>
      <w:r>
        <w:t xml:space="preserve">”</w:t>
      </w:r>
      <w:r>
        <w:t xml:space="preserve"> </w:t>
      </w:r>
      <w:r>
        <w:t xml:space="preserve">read it as a model-fitting result and NOT as a measurement.</w:t>
      </w:r>
    </w:p>
    <w:p>
      <w:pPr>
        <w:pStyle w:val="Heading2"/>
      </w:pPr>
      <w:bookmarkStart w:id="60" w:name="active-inference-and-the-body"/>
      <w:r>
        <w:t xml:space="preserve">3.4 Active inference and the body</w:t>
      </w:r>
      <w:bookmarkEnd w:id="60"/>
    </w:p>
    <w:p>
      <w:pPr>
        <w:pStyle w:val="FirstParagraph"/>
      </w:pPr>
      <w:r>
        <w:t xml:space="preserve">There are two ways to reduce a mismatch between what you predicted and what you sensed. You can change the prediction. Or you can change the world so the prediction comes true.</w:t>
      </w:r>
    </w:p>
    <w:p>
      <w:pPr>
        <w:pStyle w:val="BodyText"/>
      </w:pPr>
      <w:r>
        <w:t xml:space="preserve">The second option is action, and treating it that way is the step from predictive coding to</w:t>
      </w:r>
      <w:r>
        <w:t xml:space="preserve"> </w:t>
      </w:r>
      <w:r>
        <w:rPr>
          <w:b/>
        </w:rPr>
        <w:t xml:space="preserve">active inference</w:t>
      </w:r>
      <w:r>
        <w:t xml:space="preserve">. On this account, no separate motor system receives commands and executes them. Movement is the fulfillment of a proprioceptive prediction. The brain predicts the pattern of muscle-spindle and joint signals that would occur if the arm were already extended, that prediction generates proprioceptive error, and the classical reflex arcs at the spinal level resolve the error the only way available to them, by moving the arm until the predicted sensations arrive. The prediction functions as a specification of what should be sensed, and the body makes it true.</w:t>
      </w:r>
    </w:p>
    <w:p>
      <w:pPr>
        <w:pStyle w:val="BodyText"/>
      </w:pPr>
      <w:r>
        <w:t xml:space="preserve">Notice that this is structurally the same claim Powers made about controlling perception, arrived at from a different direction. Section 2 and Section 3 are closer relatives than their vocabularies suggest, and Section 4 takes that seriously.</w:t>
      </w:r>
    </w:p>
    <w:p>
      <w:pPr>
        <w:pStyle w:val="BodyText"/>
      </w:pPr>
      <w:r>
        <w:t xml:space="preserve">One requirement falls out immediately. For a proprioceptive prediction to drive movement rather than be corrected by the evidence, the incoming proprioceptive error has to be temporarily down-weighted, its precision reduced, or the system would simply conclude the arm hasn’t moved and revise the prediction instead. This is</w:t>
      </w:r>
      <w:r>
        <w:t xml:space="preserve"> </w:t>
      </w:r>
      <w:r>
        <w:rPr>
          <w:b/>
        </w:rPr>
        <w:t xml:space="preserve">sensory attenuation</w:t>
      </w:r>
      <w:r>
        <w:t xml:space="preserve">, and it’s why you can’t tickle yourself: self-generated sensation is predicted and therefore attenuated (Brown, Adams, Pareés, Edwards, &amp; Friston, 2013). Hold on to it. It’s the hinge of the best clinical application in 3.5.</w:t>
      </w:r>
    </w:p>
    <w:p>
      <w:pPr>
        <w:pStyle w:val="BodyText"/>
      </w:pPr>
      <w:r>
        <w:t xml:space="preserve">Turn the same machinery inward and it becomes clinically unavoidable. The brain receives a continuous stream from inside the body: cardiac, respiratory, gastric, vascular, immune, metabolic. If perception in general is inference, then perception of the body’s internal state is inference too. Seth’s proposal is that emotional experience is</w:t>
      </w:r>
      <w:r>
        <w:t xml:space="preserve"> </w:t>
      </w:r>
      <w:r>
        <w:rPr>
          <w:b/>
        </w:rPr>
        <w:t xml:space="preserve">interoceptive inference</w:t>
      </w:r>
      <w:r>
        <w:t xml:space="preserve">, your best hypothesis about the causes of your internal signals, generated by the same machinery that produces your best hypothesis about the causes of light on the retina (Seth, 2013; Seth &amp; Friston, 2016). A racing heart is data. What it means (fear, excitement, exertion, caffeine, illness) is a conclusion, arrived at inferentially, using context and prior expectation, and delivered to you as a feeling instead of as a judgment. It’s WebMD implemented in hardware: one real signal in, the most confident available diagnosis out, and no confidence interval printed anywhere on it.</w:t>
      </w:r>
    </w:p>
    <w:p>
      <w:pPr>
        <w:pStyle w:val="BodyText"/>
      </w:pPr>
      <w:r>
        <w:t xml:space="preserve">Barrett and Simmons made the anatomical case, arguing that the agranular visceromotor cortices, anterior insula and anterior cingulate, issue interoceptive predictions against which the ascending signals are compared, rather than receiving interoceptive information and reacting to it (Barrett &amp; Simmons, 2015). The direction of traffic is the substantive claim: the brain anticipates the body and notes the residuals rather than primarily reading it. Barrett’s theory of constructed emotion builds on this (Barrett, 2017), as does the active-inference account of allostasis and interoception in depression (Barrett, Quigley, &amp; Hamilton, 2016).</w:t>
      </w:r>
    </w:p>
    <w:p>
      <w:pPr>
        <w:pStyle w:val="BodyText"/>
      </w:pPr>
      <w:r>
        <w:t xml:space="preserve">Peter Sterling’s argument, stated most compactly in a 2012 paper, is that homeostasis is the wrong model for how a body is actually governed (Sterling, 2012). Homeostasis is reactive: a variable deviates, the deviation is detected, a correction follows.</w:t>
      </w:r>
      <w:r>
        <w:t xml:space="preserve"> </w:t>
      </w:r>
      <w:r>
        <w:rPr>
          <w:b/>
        </w:rPr>
        <w:t xml:space="preserve">Allostasis</w:t>
      </w:r>
      <w:r>
        <w:t xml:space="preserve"> </w:t>
      </w:r>
      <w:r>
        <w:t xml:space="preserve">is predictive: the system anticipates demand and adjusts</w:t>
      </w:r>
      <w:r>
        <w:t xml:space="preserve"> </w:t>
      </w:r>
      <w:r>
        <w:rPr>
          <w:i/>
        </w:rPr>
        <w:t xml:space="preserve">before</w:t>
      </w:r>
      <w:r>
        <w:t xml:space="preserve"> </w:t>
      </w:r>
      <w:r>
        <w:t xml:space="preserve">the deviation occurs. Blood pressure rises in the seconds before you stand. Insulin is released at the sight and smell of food, not in response to the glucose. Cortisol climbs in the hour before waking. A purely reactive regulator would be permanently behind, so efficient regulation means predicting demand and being wrong as rarely as possible. Recall the thirst circuit from Section 2, which switches off during swallowing rather than after absorption, allostasis running inside a system that looks, on a diagram, purely homeostatic.</w:t>
      </w:r>
    </w:p>
    <w:p>
      <w:pPr>
        <w:pStyle w:val="BodyText"/>
      </w:pPr>
      <w:r>
        <w:t xml:space="preserve">The clinical implication isn’t decorative. If regulation is predictive, chronic dysregulation needs no broken sensor and no failed correction. It can consist entirely of a body being prepared, accurately and efficiently, for demands that aren’t coming. A system still expecting a world it no longer lives in.</w:t>
      </w:r>
    </w:p>
    <w:p>
      <w:pPr>
        <w:pStyle w:val="Heading2"/>
      </w:pPr>
      <w:bookmarkStart w:id="61" w:name="the-clinical-versions"/>
      <w:r>
        <w:t xml:space="preserve">3.5 The clinical versions</w:t>
      </w:r>
      <w:bookmarkEnd w:id="61"/>
    </w:p>
    <w:p>
      <w:pPr>
        <w:pStyle w:val="FirstParagraph"/>
      </w:pPr>
      <w:r>
        <w:t xml:space="preserve">The framework has been applied to almost every psychiatric presentation. The applications vary enormously in how well they’re supported, and it’s worth being explicit about which is which.</w:t>
      </w:r>
    </w:p>
    <w:p>
      <w:pPr>
        <w:pStyle w:val="BodyText"/>
      </w:pPr>
      <w:r>
        <w:rPr>
          <w:b/>
        </w:rPr>
        <w:t xml:space="preserve">Psychosis as overweighted priors.</w:t>
      </w:r>
      <w:r>
        <w:t xml:space="preserve"> </w:t>
      </w:r>
      <w:r>
        <w:t xml:space="preserve">The strongest single experiment is Powers, Mathys, and Corlett’s</w:t>
      </w:r>
      <w:r>
        <w:t xml:space="preserve"> </w:t>
      </w:r>
      <w:r>
        <w:rPr>
          <w:i/>
        </w:rPr>
        <w:t xml:space="preserve">Science</w:t>
      </w:r>
      <w:r>
        <w:t xml:space="preserve"> </w:t>
      </w:r>
      <w:r>
        <w:t xml:space="preserve">paper (Powers, Mathys, &amp; Corlett, 2017). They took four groups (voice-hearers with a psychosis diagnosis, voice-hearers without one who identified as psychics, people with psychosis who don’t hallucinate, and healthy controls) and conditioned them all to associate a visual cue with a faint tone, then presented the cue with no tone. Both voice-hearing groups reported hearing the tone, with high confidence, far more often than the other two. Computational modeling located the difference in the weighting of prior expectations relative to sensory evidence, and the effect scaled with clinical hallucination severity. That’s close to a demonstration that a conditioned prior can manufacture a percept in the absence of the stimulus. Sterzer and colleagues review the wider predictive-coding account of psychosis, including the difficulty that different stages of illness appear to require opposite claims about whether priors are too strong or too weak (Sterzer et al., 2018; see also Corlett et al., 2019; Adams, Stephan, Brown, Frith, &amp; Friston, 2013).</w:t>
      </w:r>
    </w:p>
    <w:p>
      <w:pPr>
        <w:pStyle w:val="BodyText"/>
      </w:pPr>
      <w:r>
        <w:rPr>
          <w:b/>
        </w:rPr>
        <w:t xml:space="preserve">Functional neurological disorder.</w:t>
      </w:r>
      <w:r>
        <w:t xml:space="preserve"> </w:t>
      </w:r>
      <w:r>
        <w:t xml:space="preserve">This is the framework’s best clinical case, because it solves a problem nothing else solved. Edwards, Adams, Brown, Pareés, and Friston proposed that in FND a strongly held prior about the body, a belief in a paralyzed limb or an expectation of a tremor, is granted such high precision that it dominates the actual sensory evidence, while attention to the affected limb further alters the precision of incoming signals (Edwards, Adams, Brown, Pareés, &amp; Friston, 2012). The symptom is genuinely involuntary from the patient’s side, because the prediction operates at a level the person has no access to,</w:t>
      </w:r>
      <w:r>
        <w:t xml:space="preserve"> </w:t>
      </w:r>
      <w:r>
        <w:rPr>
          <w:i/>
        </w:rPr>
        <w:t xml:space="preserve">and</w:t>
      </w:r>
      <w:r>
        <w:t xml:space="preserve"> </w:t>
      </w:r>
      <w:r>
        <w:t xml:space="preserve">it’s generated by the patient’s own brain rather than by a lesion. That’s exactly the combination clinicians observe and that a century of theorizing failed to accommodate without implying malingering or repression. It also makes testable predictions: sensory attenuation should be abnormal in these patients, and it is (Pareés et al., 2014). FND is where predictive processing has done the most clinical good.</w:t>
      </w:r>
    </w:p>
    <w:p>
      <w:pPr>
        <w:pStyle w:val="BodyText"/>
      </w:pPr>
      <w:r>
        <w:rPr>
          <w:b/>
        </w:rPr>
        <w:t xml:space="preserve">Chronic pain and placebo.</w:t>
      </w:r>
      <w:r>
        <w:t xml:space="preserve"> </w:t>
      </w:r>
      <w:r>
        <w:t xml:space="preserve">Büchel, Geuter, Sprenger, and Eippert set out placebo analgesia as a predictive coding phenomenon: the experienced intensity of pain is a weighted combination of nociceptive input and expectation, so an expectation of relief, held with sufficient precision, changes not the report of the pain but the pain (Büchel, Geuter, Sprenger, &amp; Eippert, 2014). That dissolves a persistent confusion about whether placebo effects are</w:t>
      </w:r>
      <w:r>
        <w:t xml:space="preserve"> </w:t>
      </w:r>
      <w:r>
        <w:t xml:space="preserve">“</w:t>
      </w:r>
      <w:r>
        <w:t xml:space="preserve">real.</w:t>
      </w:r>
      <w:r>
        <w:t xml:space="preserve">”</w:t>
      </w:r>
      <w:r>
        <w:t xml:space="preserve"> </w:t>
      </w:r>
      <w:r>
        <w:t xml:space="preserve">On this account no separate real pain sits behind the experienced one. There’s an inference, and expectation is one input to it. The extension to chronic pain, that pain can persist as a highly precise prior long after the nociceptive evidence has faded, is coherent and clinically appealing, and considerably less directly evidenced than the placebo work.</w:t>
      </w:r>
    </w:p>
    <w:p>
      <w:pPr>
        <w:pStyle w:val="BodyText"/>
      </w:pPr>
      <w:r>
        <w:rPr>
          <w:b/>
        </w:rPr>
        <w:t xml:space="preserve">Anxiety and volatility.</w:t>
      </w:r>
      <w:r>
        <w:t xml:space="preserve"> </w:t>
      </w:r>
      <w:r>
        <w:t xml:space="preserve">Browning, Behrens, Jocham, O’Reilly, and Bishop had participants learn which of two options predicted an electric shock, in an environment whose statistics shifted periodically (Browning, Behrens, Jocham, O’Reilly, &amp; Bishop, 2015). Healthy low-anxious participants adjusted their learning rate appropriately: fast updating when the world was changing, slow updating when it was stable. High trait-anxious participants failed to make that adjustment, learning at a similar rate regardless. The finding reframes anxiety as a failure to estimate how much the world is changing, and therefore a failure to know how much any given piece of bad news should count. The study is well designed and has been influential. It’s also one experiment with a modest sample, and the trait-anxiety effect is a correlation in a non-clinical population.</w:t>
      </w:r>
    </w:p>
    <w:p>
      <w:pPr>
        <w:pStyle w:val="BodyText"/>
      </w:pPr>
      <w:r>
        <w:rPr>
          <w:b/>
        </w:rPr>
        <w:t xml:space="preserve">Fatigue and depression.</w:t>
      </w:r>
      <w:r>
        <w:t xml:space="preserve"> </w:t>
      </w:r>
      <w:r>
        <w:t xml:space="preserve">Stephan and colleagues proposed</w:t>
      </w:r>
      <w:r>
        <w:t xml:space="preserve"> </w:t>
      </w:r>
      <w:r>
        <w:rPr>
          <w:b/>
        </w:rPr>
        <w:t xml:space="preserve">allostatic self-efficacy</w:t>
      </w:r>
      <w:r>
        <w:t xml:space="preserve">: fatigue as the signal of persistently unresolved interoceptive prediction error, and depression as what follows when the system arrives at a low-level belief that its own regulatory actions no longer work (Stephan et al., 2016). Depression, on this reading, is an inference about regulatory competence sitting underneath the mood. It connects fatigue, inflammation, interoception, and mood in one structure, and it should be read as a theoretical proposal awaiting direct test rather than an established finding. The same caution applies to Petzschner and colleagues’ broader computational-psychosomatics program (Petzschner, Weber, Gard, &amp; Stephan, 2017).</w:t>
      </w:r>
    </w:p>
    <w:p>
      <w:pPr>
        <w:pStyle w:val="Heading2"/>
      </w:pPr>
      <w:bookmarkStart w:id="62" w:name="problems-with-the-predictive-model"/>
      <w:r>
        <w:t xml:space="preserve">3.6 Problems with the predictive model</w:t>
      </w:r>
      <w:bookmarkEnd w:id="62"/>
    </w:p>
    <w:p>
      <w:pPr>
        <w:pStyle w:val="FirstParagraph"/>
      </w:pPr>
      <w:r>
        <w:t xml:space="preserve">The predictive framework is the most influential idea in theoretical neuroscience of the last twenty years. It also has serious problems, and clinicians are rarely told about them.</w:t>
      </w:r>
    </w:p>
    <w:p>
      <w:pPr>
        <w:pStyle w:val="BodyText"/>
      </w:pPr>
      <w:r>
        <w:t xml:space="preserve">Go back to the order of operations from 3.1. Decide first, then build the case. That happens to fields, not only to people, and this is a field that fell in love with an elegant argument and then mostly stopped trying to break it.</w:t>
      </w:r>
    </w:p>
    <w:p>
      <w:pPr>
        <w:pStyle w:val="BodyText"/>
      </w:pPr>
      <w:r>
        <w:t xml:space="preserve">Psychosis. Chronic pain. Placebo. Anxiety. Functional neurological disorder. Fatigue. Depression. Autism. Addiction…</w:t>
      </w:r>
    </w:p>
    <w:p>
      <w:pPr>
        <w:pStyle w:val="BodyText"/>
      </w:pPr>
      <w:r>
        <w:t xml:space="preserve">Applied to all of that. Tested hard against a small fraction of it. Weigh the following before leaning on any of it.</w:t>
      </w:r>
    </w:p>
    <w:p>
      <w:pPr>
        <w:pStyle w:val="BodyText"/>
      </w:pPr>
      <w:r>
        <w:rPr>
          <w:b/>
        </w:rPr>
        <w:t xml:space="preserve">The unfalsifiability charge.</w:t>
      </w:r>
      <w:r>
        <w:t xml:space="preserve"> </w:t>
      </w:r>
      <w:r>
        <w:t xml:space="preserve">Bowers and Davis put the objection most sharply in</w:t>
      </w:r>
      <w:r>
        <w:t xml:space="preserve"> </w:t>
      </w:r>
      <w:r>
        <w:rPr>
          <w:i/>
        </w:rPr>
        <w:t xml:space="preserve">Psychological Bulletin</w:t>
      </w:r>
      <w:r>
        <w:t xml:space="preserve"> </w:t>
      </w:r>
      <w:r>
        <w:t xml:space="preserve">under the title</w:t>
      </w:r>
      <w:r>
        <w:t xml:space="preserve"> </w:t>
      </w:r>
      <w:r>
        <w:t xml:space="preserve">“</w:t>
      </w:r>
      <w:r>
        <w:t xml:space="preserve">Bayesian just-so stories in psychology and neuroscience</w:t>
      </w:r>
      <w:r>
        <w:t xml:space="preserve">”</w:t>
      </w:r>
      <w:r>
        <w:t xml:space="preserve"> </w:t>
      </w:r>
      <w:r>
        <w:t xml:space="preserve">(Bowers &amp; Davis, 2012). A Bayesian model has three components a modeler can adjust, the prior, the likelihood function, and the utility or cost function, and each is typically inferred from the data rather than measured independently. Given that freedom, a model can be fitted to almost any pattern of behavior, including patterns that contradict each other. Their taxonomy distinguishes three kinds of objection. The</w:t>
      </w:r>
      <w:r>
        <w:t xml:space="preserve"> </w:t>
      </w:r>
      <w:r>
        <w:rPr>
          <w:b/>
        </w:rPr>
        <w:t xml:space="preserve">extreme</w:t>
      </w:r>
      <w:r>
        <w:t xml:space="preserve"> </w:t>
      </w:r>
      <w:r>
        <w:t xml:space="preserve">claim is that Bayesian theories are unfalsifiable in principle. The</w:t>
      </w:r>
      <w:r>
        <w:t xml:space="preserve"> </w:t>
      </w:r>
      <w:r>
        <w:rPr>
          <w:b/>
        </w:rPr>
        <w:t xml:space="preserve">methodological</w:t>
      </w:r>
      <w:r>
        <w:t xml:space="preserve"> </w:t>
      </w:r>
      <w:r>
        <w:t xml:space="preserve">claim is that in practice the free parameters get chosen after seeing the data, so the fit demonstrates flexibility rather than truth. The</w:t>
      </w:r>
      <w:r>
        <w:t xml:space="preserve"> </w:t>
      </w:r>
      <w:r>
        <w:rPr>
          <w:b/>
        </w:rPr>
        <w:t xml:space="preserve">theoretical</w:t>
      </w:r>
      <w:r>
        <w:t xml:space="preserve"> </w:t>
      </w:r>
      <w:r>
        <w:t xml:space="preserve">claim is that showing behavior is</w:t>
      </w:r>
      <w:r>
        <w:t xml:space="preserve"> </w:t>
      </w:r>
      <w:r>
        <w:rPr>
          <w:i/>
        </w:rPr>
        <w:t xml:space="preserve">consistent with</w:t>
      </w:r>
      <w:r>
        <w:t xml:space="preserve"> </w:t>
      </w:r>
      <w:r>
        <w:t xml:space="preserve">optimal inference tells you little, because many non-Bayesian mechanisms produce near-optimal behavior, and the demonstration therefore doesn’t identify a mechanism. Bowers and Davis endorse the second and third rather than the first, and that’s the version clinicians should hold. The framework isn’t unfalsifiable. A great deal of the published work simply hasn’t tried very hard to falsify it.</w:t>
      </w:r>
    </w:p>
    <w:p>
      <w:pPr>
        <w:pStyle w:val="BodyText"/>
      </w:pPr>
      <w:r>
        <w:rPr>
          <w:b/>
        </w:rPr>
        <w:t xml:space="preserve">Unification by fiat.</w:t>
      </w:r>
      <w:r>
        <w:t xml:space="preserve"> </w:t>
      </w:r>
      <w:r>
        <w:t xml:space="preserve">Litwin and Miłkowski’s critique in</w:t>
      </w:r>
      <w:r>
        <w:t xml:space="preserve"> </w:t>
      </w:r>
      <w:r>
        <w:rPr>
          <w:i/>
        </w:rPr>
        <w:t xml:space="preserve">Cognitive Science</w:t>
      </w:r>
      <w:r>
        <w:t xml:space="preserve"> </w:t>
      </w:r>
      <w:r>
        <w:t xml:space="preserve">argues that predictive processing has expanded by absorption rather than by explanation (Litwin &amp; Miłkowski, 2020). Perception was restated in predictive terms. Then action. Then attention. Then learning. Then emotion, interoception, and psychopathology. Each restatement was announced as unification, but a redescription only unifies if it generates constraints, and here it frequently generates none. Their charge is that the framework’s development has been arrested: the vocabulary keeps growing while the mechanistic detail does not, and the theory is protected from disconfirmation by the ease with which any result can be restated in its terms. A theory that grows after every disconfirmation is doing something other than science.</w:t>
      </w:r>
    </w:p>
    <w:p>
      <w:pPr>
        <w:pStyle w:val="BodyText"/>
      </w:pPr>
      <w:r>
        <w:rPr>
          <w:b/>
        </w:rPr>
        <w:t xml:space="preserve">The identifiability problem.</w:t>
      </w:r>
      <w:r>
        <w:t xml:space="preserve"> </w:t>
      </w:r>
      <w:r>
        <w:t xml:space="preserve">This is the most concrete of the objections and the one with the sharpest clinical consequence. Recall from 3.3 that the outcome is a weighted blend of prior and evidence. Now consider two people: one with a weak, uncertain prior and highly reliable sensory evidence, the other with a strong, confident prior and unreliable evidence. Under the right numbers, these two produce</w:t>
      </w:r>
      <w:r>
        <w:t xml:space="preserve"> </w:t>
      </w:r>
      <w:r>
        <w:rPr>
          <w:b/>
        </w:rPr>
        <w:t xml:space="preserve">identical</w:t>
      </w:r>
      <w:r>
        <w:t xml:space="preserve"> </w:t>
      </w:r>
      <w:r>
        <w:t xml:space="preserve">perceptual outcomes. Nothing in the behavior distinguishes them. The arithmetic guarantees it, which makes this structural and not a technical inconvenience you can engineer around. It means a claim of the form</w:t>
      </w:r>
      <w:r>
        <w:t xml:space="preserve"> </w:t>
      </w:r>
      <w:r>
        <w:t xml:space="preserve">“</w:t>
      </w:r>
      <w:r>
        <w:t xml:space="preserve">in this disorder, priors are too strong</w:t>
      </w:r>
      <w:r>
        <w:t xml:space="preserve">”</w:t>
      </w:r>
      <w:r>
        <w:t xml:space="preserve"> </w:t>
      </w:r>
      <w:r>
        <w:t xml:space="preserve">is usually not separable, on the available behavioral data, from</w:t>
      </w:r>
      <w:r>
        <w:t xml:space="preserve"> </w:t>
      </w:r>
      <w:r>
        <w:t xml:space="preserve">“</w:t>
      </w:r>
      <w:r>
        <w:t xml:space="preserve">in this disorder, sensory precision is too low.</w:t>
      </w:r>
      <w:r>
        <w:t xml:space="preserve">”</w:t>
      </w:r>
      <w:r>
        <w:t xml:space="preserve"> </w:t>
      </w:r>
      <w:r>
        <w:t xml:space="preserve">Those two have completely different treatment implications. The psychosis literature shows the problem in the open: strong-prior accounts and weak-prior accounts have both been advanced, sometimes for the same phenomena at different stages of illness, and the datasets frequently can’t adjudicate. Independent measurement of one term (through pharmacology, through neurophysiology, through experimental manipulation of actual stimulus reliability) is the only way out, and it’s done far less often than it should be.</w:t>
      </w:r>
    </w:p>
    <w:p>
      <w:pPr>
        <w:pStyle w:val="BodyText"/>
      </w:pPr>
      <w:r>
        <w:rPr>
          <w:b/>
        </w:rPr>
        <w:t xml:space="preserve">The dark room problem.</w:t>
      </w:r>
      <w:r>
        <w:t xml:space="preserve"> </w:t>
      </w:r>
      <w:r>
        <w:t xml:space="preserve">If a brain is built to minimize prediction error, why doesn’t it find a dark, silent, unchanging room and stay there forever? Sensory input in that room is maximally predictable and error would fall to nearly nothing. Wednesday Addams would call that a good weekend.</w:t>
      </w:r>
    </w:p>
    <w:p>
      <w:pPr>
        <w:pStyle w:val="BodyText"/>
      </w:pPr>
      <w:r>
        <w:t xml:space="preserve">Friston, Thornton, and Clark gave the standard reply: an organism’s model includes expectations about itself, that it will eat, move, socialize, encounter novelty, and a dark room violates those expectations catastrophically, generating enormous error of exactly the kind that gets the organism out of the room (Friston, Thornton, &amp; Clark, 2012). Sun and Firestone pressed on this in</w:t>
      </w:r>
      <w:r>
        <w:t xml:space="preserve"> </w:t>
      </w:r>
      <w:r>
        <w:rPr>
          <w:i/>
        </w:rPr>
        <w:t xml:space="preserve">Trends in Cognitive Sciences</w:t>
      </w:r>
      <w:r>
        <w:t xml:space="preserve">, arguing that the reply either smuggles in the very drives it was supposed to explain, or renders the principle vacuous by allowing any behavior at all to be described as error minimization given a suitably chosen model (Sun &amp; Firestone, 2020). The exchange produced two separate replies in the same issue, Van de Cruys, Friston, and Clark on one line of defense, Seth, Millidge, Buckley, and Tschantz on another (Van de Cruys, Friston, &amp; Clark, 2020; Seth, Millidge, Buckley, &amp; Tschantz, 2020). Anybody who has made the second trip to Home Depot for the same repair knows what it means when the first answer needs a follow-up answer. Two defenses, not entirely compatible with each other, against a two-page critique. The problem isn’t fatal and it hasn’t been cleanly resolved.</w:t>
      </w:r>
    </w:p>
    <w:p>
      <w:pPr>
        <w:pStyle w:val="BodyText"/>
      </w:pPr>
      <w:r>
        <w:rPr>
          <w:b/>
        </w:rPr>
        <w:t xml:space="preserve">Four different claims wearing one name.</w:t>
      </w:r>
      <w:r>
        <w:t xml:space="preserve"> </w:t>
      </w:r>
      <w:r>
        <w:t xml:space="preserve">Much of the confusion in the clinical literature comes from a conflation that’s easy to fix once you see it. At LEAST four separate propositions travel together under the predictive banner, and they differ enormously in how testable they are.</w:t>
      </w:r>
    </w:p>
    <w:p>
      <w:pPr>
        <w:pStyle w:val="BodyText"/>
      </w:pPr>
      <w:r>
        <w:rPr>
          <w:i/>
        </w:rPr>
        <w:t xml:space="preserve">Predictive coding as a neural algorithm.</w:t>
      </w:r>
      <w:r>
        <w:t xml:space="preserve"> </w:t>
      </w:r>
      <w:r>
        <w:t xml:space="preserve">The claim that cortical circuits literally compute and transmit prediction errors, with specific cell types and laminar connections doing specific jobs. This is a concrete neurophysiological hypothesis, it’s testable, and it’s being tested.</w:t>
      </w:r>
    </w:p>
    <w:p>
      <w:pPr>
        <w:pStyle w:val="BodyText"/>
      </w:pPr>
      <w:r>
        <w:rPr>
          <w:i/>
        </w:rPr>
        <w:t xml:space="preserve">The Bayesian brain hypothesis.</w:t>
      </w:r>
      <w:r>
        <w:t xml:space="preserve"> </w:t>
      </w:r>
      <w:r>
        <w:t xml:space="preserve">The claim that the nervous system represents and combines information in an approximately Bayes-optimal way. Testable at the behavioral level, subject to the identifiability problem above, and it specifies no mechanism by itself (Colombo &amp; Seriès, 2012).</w:t>
      </w:r>
    </w:p>
    <w:p>
      <w:pPr>
        <w:pStyle w:val="BodyText"/>
      </w:pPr>
      <w:r>
        <w:rPr>
          <w:i/>
        </w:rPr>
        <w:t xml:space="preserve">Predictive processing as a cognitive architecture.</w:t>
      </w:r>
      <w:r>
        <w:t xml:space="preserve"> </w:t>
      </w:r>
      <w:r>
        <w:t xml:space="preserve">The claim that perception, action, attention, learning, and emotion are all instances of hierarchical prediction error minimization (Clark, 2013; Hohwy, 2016). This is a framework-level proposal. It gets evaluated on coherence and productivity more than on any single experiment, and it’s where the Litwin and Miłkowski critique bites hardest.</w:t>
      </w:r>
    </w:p>
    <w:p>
      <w:pPr>
        <w:pStyle w:val="BodyText"/>
      </w:pPr>
      <w:r>
        <w:rPr>
          <w:i/>
        </w:rPr>
        <w:t xml:space="preserve">The free energy principle.</w:t>
      </w:r>
      <w:r>
        <w:t xml:space="preserve"> </w:t>
      </w:r>
      <w:r>
        <w:t xml:space="preserve">The claim that any system maintaining its boundaries against dissipation must, of mathematical necessity, appear to minimize variational free energy (Friston, 2010). This is a formal result about the class of systems that persist. Whether it’s empirically falsifiable at all is genuinely disputed, including by people sympathetic to it.</w:t>
      </w:r>
    </w:p>
    <w:p>
      <w:pPr>
        <w:pStyle w:val="BodyText"/>
      </w:pPr>
      <w:r>
        <w:t xml:space="preserve">A study supporting the first says almost nothing about the fourth. Papers routinely cite across these levels as though they were one body of evidence. They are not.</w:t>
      </w:r>
    </w:p>
    <w:p>
      <w:pPr>
        <w:pStyle w:val="BodyText"/>
      </w:pPr>
      <w:r>
        <w:rPr>
          <w:b/>
        </w:rPr>
        <w:t xml:space="preserve">Pathological precision is stipulated, not derived.</w:t>
      </w:r>
      <w:r>
        <w:t xml:space="preserve"> </w:t>
      </w:r>
      <w:r>
        <w:t xml:space="preserve">Crippen’s critical review in</w:t>
      </w:r>
      <w:r>
        <w:t xml:space="preserve"> </w:t>
      </w:r>
      <w:r>
        <w:rPr>
          <w:i/>
        </w:rPr>
        <w:t xml:space="preserve">Behavioral Sciences</w:t>
      </w:r>
      <w:r>
        <w:t xml:space="preserve"> </w:t>
      </w:r>
      <w:r>
        <w:t xml:space="preserve">makes an argument that ought to trouble anyone using this framework clinically (Crippen, 2026). Predictive accounts of psychopathology typically proceed by identifying a symptom, positing a precision abnormality that would produce it, and then presenting the symptom as evidence for the abnormality. But the framework contains no independent standard for what the</w:t>
      </w:r>
      <w:r>
        <w:t xml:space="preserve"> </w:t>
      </w:r>
      <w:r>
        <w:rPr>
          <w:i/>
        </w:rPr>
        <w:t xml:space="preserve">correct</w:t>
      </w:r>
      <w:r>
        <w:t xml:space="preserve"> </w:t>
      </w:r>
      <w:r>
        <w:t xml:space="preserve">precision would have been. Crippen’s title,</w:t>
      </w:r>
      <w:r>
        <w:t xml:space="preserve"> </w:t>
      </w:r>
      <w:r>
        <w:t xml:space="preserve">“</w:t>
      </w:r>
      <w:r>
        <w:t xml:space="preserve">Errors or Adaptations?</w:t>
      </w:r>
      <w:r>
        <w:t xml:space="preserve">”</w:t>
      </w:r>
      <w:r>
        <w:t xml:space="preserve">, is the point: a precision setting that produces distress in one environment may be well-calibrated to another, including the environment in which the person actually learned it. Without an independent criterion, the designation</w:t>
      </w:r>
      <w:r>
        <w:t xml:space="preserve"> </w:t>
      </w:r>
      <w:r>
        <w:t xml:space="preserve">“</w:t>
      </w:r>
      <w:r>
        <w:t xml:space="preserve">pathological</w:t>
      </w:r>
      <w:r>
        <w:t xml:space="preserve">”</w:t>
      </w:r>
      <w:r>
        <w:t xml:space="preserve"> </w:t>
      </w:r>
      <w:r>
        <w:t xml:space="preserve">is imported from clinical judgment, dressed in computational terms, and then read back out as though the model had derived it. That doesn’t make the accounts wrong. It means they’re frequently less explanatory than they appear, and clinicians should notice when</w:t>
      </w:r>
      <w:r>
        <w:t xml:space="preserve"> </w:t>
      </w:r>
      <w:r>
        <w:rPr>
          <w:strike/>
        </w:rPr>
        <w:t xml:space="preserve">a model has just restated the diagnosis in equations</w:t>
      </w:r>
      <w:r>
        <w:t xml:space="preserve"> </w:t>
      </w:r>
      <w:r>
        <w:t xml:space="preserve">a model’s conclusion was already contained in how it was set up.</w:t>
      </w:r>
    </w:p>
    <w:p>
      <w:pPr>
        <w:pStyle w:val="BodyText"/>
      </w:pPr>
      <w:r>
        <w:rPr>
          <w:b/>
        </w:rPr>
        <w:t xml:space="preserve">The direct neural evidence is narrower than advertised.</w:t>
      </w:r>
      <w:r>
        <w:t xml:space="preserve"> </w:t>
      </w:r>
      <w:r>
        <w:t xml:space="preserve">Keller and Mrsic-Flogel’s influential review argues that predictive processing is a canonical cortical computation and assembles the supporting physiology, including mouse visual cortex neurons that respond to mismatches between predicted and actual visual flow during locomotion (Keller &amp; Mrsic-Flogel, 2018). That work is real and it’s good. It’s also a specific set of findings in a small number of systems, mouse V1 and some auditory paradigms, that gets cited regularly to support claims about a general cortical principle.</w:t>
      </w:r>
    </w:p>
    <w:p>
      <w:pPr>
        <w:pStyle w:val="BodyText"/>
      </w:pPr>
      <w:r>
        <w:t xml:space="preserve">Furutachi and Hofer’s recent review in</w:t>
      </w:r>
      <w:r>
        <w:t xml:space="preserve"> </w:t>
      </w:r>
      <w:r>
        <w:rPr>
          <w:i/>
        </w:rPr>
        <w:t xml:space="preserve">Annual Review of Neuroscience</w:t>
      </w:r>
      <w:r>
        <w:t xml:space="preserve"> </w:t>
      </w:r>
      <w:r>
        <w:t xml:space="preserve">is the skeptical companion piece and should be read alongside it (Furutachi &amp; Hofer, 2026). Their central objection is</w:t>
      </w:r>
      <w:r>
        <w:t xml:space="preserve"> </w:t>
      </w:r>
      <w:r>
        <w:rPr>
          <w:b/>
        </w:rPr>
        <w:t xml:space="preserve">signal underdetermination</w:t>
      </w:r>
      <w:r>
        <w:t xml:space="preserve">: a neuron whose firing correlates with the difference between expectation and input hasn’t thereby been shown to be computing a prediction error. The same response profile can be produced by adaptation, by stimulus-specific fatigue, by attention-related gain changes, by novelty detection, or by ordinary nonlinear tuning to conjunctions of stimulus and behavioral state. Distinguishing a genuine prediction-error neuron from those alternatives requires experimental designs most published studies haven’t used. They don’t conclude that cortical prediction errors are absent. Their conclusion is that the confidence with which the field asserts them exceeds what the recordings currently establish.</w:t>
      </w:r>
    </w:p>
    <w:p>
      <w:pPr>
        <w:pStyle w:val="BodyText"/>
      </w:pPr>
      <w:r>
        <w:t xml:space="preserve">That’s the state of the evidence going into Section 4. The predictive framework offers something the control framework does not: an account of belief, of learning, of how a system’s model of the world shapes what it perceives, and a single parameter, precision, that connects attention, confidence, symptom formation, and therapeutic change. It also carries a persistent identifiability problem it hasn’t solved, a habit of describing rather than predicting, a physiological evidence base narrower than its rhetoric, and a tendency to stipulate the pathology it claims to explain.</w:t>
      </w:r>
    </w:p>
    <w:p>
      <w:pPr>
        <w:pStyle w:val="BodyText"/>
      </w:pPr>
      <w:r>
        <w:t xml:space="preserve">Estimate, test, evaluate honestly, revise. That’s the discipline this framework describes when it describes a brain. It’s also the discipline the framework itself has largely been spared. Both of these frameworks are more useful than either is proven.</w:t>
      </w:r>
    </w:p>
    <w:p>
      <w:r>
        <w:pict>
          <v:rect style="width:0;height:1.5pt" o:hralign="center" o:hrstd="t" o:hr="t"/>
        </w:pict>
      </w:r>
    </w:p>
    <w:p>
      <w:r>
        <w:br w:type="page"/>
      </w:r>
    </w:p>
    <w:p>
      <w:pPr>
        <w:pStyle w:val="Heading1"/>
      </w:pPr>
      <w:bookmarkStart w:id="63" w:name="Xf1890d88628e28c4bb505dfec5daf3d6665798e"/>
      <w:r>
        <w:t xml:space="preserve">4. Combining the models: a learning theory of emotional regulation</w:t>
      </w:r>
      <w:bookmarkEnd w:id="63"/>
    </w:p>
    <w:p>
      <w:pPr>
        <w:pStyle w:val="Heading2"/>
      </w:pPr>
      <w:bookmarkStart w:id="64" w:name="the-join"/>
      <w:r>
        <w:t xml:space="preserve">4.1 The join</w:t>
      </w:r>
      <w:bookmarkEnd w:id="64"/>
    </w:p>
    <w:p>
      <w:pPr>
        <w:pStyle w:val="FirstParagraph"/>
      </w:pPr>
      <w:r>
        <w:t xml:space="preserve">The two frameworks in the last two sections describe the same organism and barely acknowledge each other. Read them carefully and they stop looking like competing accounts of one thing. They’re accounts of two adjacent things, and you can see the seam the moment you ask a simple question about the thermostat.</w:t>
      </w:r>
    </w:p>
    <w:p>
      <w:pPr>
        <w:pStyle w:val="BodyText"/>
      </w:pPr>
      <w:r>
        <w:t xml:space="preserve">A thermostat on your wall has a sensor that reads a number, and it takes that number at face value. Nothing in the device estimates anything. All of its intelligence sits in the rule connecting the reading to the set point.</w:t>
      </w:r>
    </w:p>
    <w:p>
      <w:pPr>
        <w:pStyle w:val="BodyText"/>
      </w:pPr>
      <w:r>
        <w:t xml:space="preserve">No biological system gets that deal.</w:t>
      </w:r>
    </w:p>
    <w:p>
      <w:pPr>
        <w:pStyle w:val="BodyText"/>
      </w:pPr>
      <w:r>
        <w:t xml:space="preserve">Its sensors are noisy, slow, ambiguous, and, decisively, they measure proxies instead of the thing being regulated. Plasma osmolality is not thirst. Firing rates in thermoreceptors are not core temperature. A racing heart is not danger. In every case the system has to infer the state of the variable it cares about from evidence that underdetermines it, continuously, in real time, while acting.</w:t>
      </w:r>
    </w:p>
    <w:p>
      <w:pPr>
        <w:pStyle w:val="BodyText"/>
      </w:pPr>
      <w:r>
        <w:t xml:space="preserve">That inference problem is exactly what predictive processing is a theory of.</w:t>
      </w:r>
    </w:p>
    <w:p>
      <w:pPr>
        <w:pStyle w:val="BodyText"/>
      </w:pPr>
      <w:r>
        <w:t xml:space="preserve">There’s the join. Predictive processing describes how the estimate gets made. Control theory describes what happens to the error once the estimate exists. The cybernetic account has a sensor-shaped hole in it, and predictive processing is the right shape to fill it.</w:t>
      </w:r>
    </w:p>
    <w:p>
      <w:pPr>
        <w:pStyle w:val="BodyText"/>
      </w:pPr>
      <w:r>
        <w:t xml:space="preserve">None of that is exotic. It’s the architecture of every serious control system built since 1960, where a state estimator and a controller get combined into one working loop (Kalman, 1960; Joseph &amp; Tou, 1961; Wonham, 1968). I spent years around that architecture before I ever sat in a therapy room. The unusual thing isn’t the engineering. It’s that psychology built both halves in separate literatures that don’t cite each other.</w:t>
      </w:r>
    </w:p>
    <w:p>
      <w:pPr>
        <w:pStyle w:val="BodyText"/>
      </w:pPr>
      <w:r>
        <w:t xml:space="preserve">Two features of the wiring do real work, and both are easy to draw wrong.</w:t>
      </w:r>
    </w:p>
    <w:p>
      <w:pPr>
        <w:pStyle w:val="BodyText"/>
      </w:pPr>
      <w:r>
        <w:rPr>
          <w:b/>
        </w:rPr>
        <w:t xml:space="preserve">The estimate becomes the target.</w:t>
      </w:r>
      <w:r>
        <w:t xml:space="preserve"> </w:t>
      </w:r>
      <w:r>
        <w:t xml:space="preserve">The estimator combines prior with evidence and produces an estimate of the current state. That estimate is simultaneously the updated prediction of what should be happening, and that prediction is what the controller defends. There is no separate goal parameter sitting off to one side. The thing the system predicts IS the set point it acts to maintain.</w:t>
      </w:r>
    </w:p>
    <w:p>
      <w:pPr>
        <w:pStyle w:val="BodyText"/>
      </w:pPr>
      <w:r>
        <w:rPr>
          <w:b/>
        </w:rPr>
        <w:t xml:space="preserve">The sensory return feeds both halves.</w:t>
      </w:r>
      <w:r>
        <w:t xml:space="preserve"> </w:t>
      </w:r>
      <w:r>
        <w:t xml:space="preserve">Action changes the world, the world returns sensation, and the same sensation does two jobs at once. It enters the estimator as evidence to be weighed against the prior. It also enters the controller, where it is compared against the set point. One signal, two destinations.</w:t>
      </w:r>
    </w:p>
    <w:p>
      <w:pPr>
        <w:pStyle w:val="BodyText"/>
      </w:pPr>
      <w:r>
        <w:drawing>
          <wp:inline>
            <wp:extent cx="5334000" cy="2990641"/>
            <wp:effectExtent b="0" l="0" r="0" t="0"/>
            <wp:docPr descr="" title="" id="1" name="Picture"/>
            <a:graphic>
              <a:graphicData uri="http://schemas.openxmlformats.org/drawingml/2006/picture">
                <pic:pic>
                  <pic:nvPicPr>
                    <pic:cNvPr descr="figures/fig-4-1-combined.png" id="0" name="Picture"/>
                    <pic:cNvPicPr>
                      <a:picLocks noChangeArrowheads="1" noChangeAspect="1"/>
                    </pic:cNvPicPr>
                  </pic:nvPicPr>
                  <pic:blipFill>
                    <a:blip r:embed="rId65"/>
                    <a:stretch>
                      <a:fillRect/>
                    </a:stretch>
                  </pic:blipFill>
                  <pic:spPr bwMode="auto">
                    <a:xfrm>
                      <a:off x="0" y="0"/>
                      <a:ext cx="5334000" cy="2990641"/>
                    </a:xfrm>
                    <a:prstGeom prst="rect">
                      <a:avLst/>
                    </a:prstGeom>
                    <a:noFill/>
                    <a:ln w="9525">
                      <a:noFill/>
                      <a:headEnd/>
                      <a:tailEnd/>
                    </a:ln>
                  </pic:spPr>
                </pic:pic>
              </a:graphicData>
            </a:graphic>
          </wp:inline>
        </w:drawing>
      </w:r>
    </w:p>
    <w:p>
      <w:pPr>
        <w:pStyle w:val="BodyText"/>
      </w:pPr>
      <w:r>
        <w:rPr>
          <w:i/>
        </w:rPr>
        <w:t xml:space="preserve">Figure 4.1. The combined model. The estimate of state becomes the updated prediction, which serves as the set point. The sensory return from action feeds both the controller and the estimator.</w:t>
      </w:r>
    </w:p>
    <w:p>
      <w:pPr>
        <w:pStyle w:val="Heading2"/>
      </w:pPr>
      <w:bookmarkStart w:id="66" w:name="two-gains-and-which-is-which"/>
      <w:r>
        <w:t xml:space="preserve">4.2 Two gains, and which is which</w:t>
      </w:r>
      <w:bookmarkEnd w:id="66"/>
    </w:p>
    <w:p>
      <w:pPr>
        <w:pStyle w:val="FirstParagraph"/>
      </w:pPr>
      <w:r>
        <w:t xml:space="preserve">The combined picture has two quantities in it that both get called</w:t>
      </w:r>
      <w:r>
        <w:t xml:space="preserve"> </w:t>
      </w:r>
      <w:r>
        <w:t xml:space="preserve">“</w:t>
      </w:r>
      <w:r>
        <w:t xml:space="preserve">gain.</w:t>
      </w:r>
      <w:r>
        <w:t xml:space="preserve">”</w:t>
      </w:r>
      <w:r>
        <w:t xml:space="preserve"> </w:t>
      </w:r>
      <w:r>
        <w:t xml:space="preserve">Keeping them apart is the whole practical value of this exercise.</w:t>
      </w:r>
    </w:p>
    <w:p>
      <w:pPr>
        <w:pStyle w:val="BodyText"/>
      </w:pPr>
      <w:r>
        <w:rPr>
          <w:b/>
        </w:rPr>
        <w:t xml:space="preserve">Observer gain</w:t>
      </w:r>
      <w:r>
        <w:t xml:space="preserve">, written K, sets how far a new piece of sensory evidence moves your estimate of the current state relative to what you already expected. High observer gain means the senses win and the estimate tracks the incoming signal closely, noise included. Low observer gain means expectation wins and the estimate is smooth, stable, and possibly out of date. This is the quantity predictive processing calls</w:t>
      </w:r>
      <w:r>
        <w:t xml:space="preserve"> </w:t>
      </w:r>
      <w:r>
        <w:rPr>
          <w:b/>
        </w:rPr>
        <w:t xml:space="preserve">precision</w:t>
      </w:r>
      <w:r>
        <w:t xml:space="preserve">, and it’s set by an implicit judgment about relative reliability. How much do I trust this signal, and how much do I trust my model?</w:t>
      </w:r>
    </w:p>
    <w:p>
      <w:pPr>
        <w:pStyle w:val="BodyText"/>
      </w:pPr>
      <w:r>
        <w:rPr>
          <w:b/>
        </w:rPr>
        <w:t xml:space="preserve">Controller gain</w:t>
      </w:r>
      <w:r>
        <w:t xml:space="preserve">, written L, sets how forcefully the system acts once an error is on the books. It has nothing to do with belief. Two people can land on exactly the same read of a situation and respond with wildly different intensity, and that difference is L.</w:t>
      </w:r>
    </w:p>
    <w:p>
      <w:pPr>
        <w:pStyle w:val="BodyText"/>
      </w:pPr>
      <w:r>
        <w:t xml:space="preserve">A third quantity,</w:t>
      </w:r>
      <w:r>
        <w:t xml:space="preserve"> </w:t>
      </w:r>
      <w:r>
        <w:rPr>
          <w:b/>
        </w:rPr>
        <w:t xml:space="preserve">damping</w:t>
      </w:r>
      <w:r>
        <w:t xml:space="preserve">, sets how the correction gets delivered over time. Does the system move decisively and settle, or does it overshoot and have to come back? A fourth,</w:t>
      </w:r>
      <w:r>
        <w:t xml:space="preserve"> </w:t>
      </w:r>
      <w:r>
        <w:rPr>
          <w:b/>
        </w:rPr>
        <w:t xml:space="preserve">delay</w:t>
      </w:r>
      <w:r>
        <w:t xml:space="preserve">, is the lag between a disturbance and the correction reaching it.</w:t>
      </w:r>
    </w:p>
    <w:p>
      <w:pPr>
        <w:pStyle w:val="BodyText"/>
      </w:pPr>
      <w:r>
        <w:t xml:space="preserve">Because the estimate becomes the target, K does something the classical picture hides: it determines</w:t>
      </w:r>
      <w:r>
        <w:t xml:space="preserve"> </w:t>
      </w:r>
      <w:r>
        <w:rPr>
          <w:b/>
        </w:rPr>
        <w:t xml:space="preserve">where the target sits</w:t>
      </w:r>
      <w:r>
        <w:t xml:space="preserve">, not merely how accurate the reading is. Move K and you move the goal. Move L and you change how hard the system drives toward a goal that hasn’t moved.</w:t>
      </w:r>
    </w:p>
    <w:p>
      <w:pPr>
        <w:pStyle w:val="BodyText"/>
      </w:pPr>
      <w:r>
        <w:t xml:space="preserve">The two are in series, in that K’s output is the quantity L operates on, and simultaneous, in that both run on every pass of the loop. This isn’t a relay. Sensation arrives, the estimate updates, the target moves with it, the error recomputes, the action adjusts, and the cycle repeats without pausing to hand anything off.</w:t>
      </w:r>
    </w:p>
    <w:p>
      <w:pPr>
        <w:pStyle w:val="BodyText"/>
      </w:pPr>
      <w:r>
        <w:t xml:space="preserve">That answers a question raised in the margin of an earlier draft: does the two-gain distinction apply to the priors, or to the predictions?</w:t>
      </w:r>
    </w:p>
    <w:p>
      <w:pPr>
        <w:pStyle w:val="BodyText"/>
      </w:pPr>
      <w:r>
        <w:t xml:space="preserve">Neither. That’s the point.</w:t>
      </w:r>
    </w:p>
    <w:p>
      <w:pPr>
        <w:pStyle w:val="BodyText"/>
      </w:pPr>
      <w:r>
        <w:t xml:space="preserve">K IS the quantity that arbitrates between prior and evidence. The entire prior-versus-evidence argument lives inside that one parameter. L sits downstream of the argument entirely. By the time L operates the estimate is settled, and the only question left is what to do about the gap between that estimate and the set point.</w:t>
      </w:r>
    </w:p>
    <w:p>
      <w:pPr>
        <w:pStyle w:val="BodyText"/>
      </w:pPr>
      <w:r>
        <w:t xml:space="preserve">The prior-versus-likelihood debate that has occupied the autism literature for fourteen years is a debate about K. It has never had anything to say about L. Which is a reasonable explanation for why it has never explained the repetitive features of the phenotype.</w:t>
      </w:r>
    </w:p>
    <w:p>
      <w:pPr>
        <w:pStyle w:val="Heading2"/>
      </w:pPr>
      <w:bookmarkStart w:id="67" w:name="where-emotion-sits"/>
      <w:r>
        <w:t xml:space="preserve">4.3 Where emotion sits</w:t>
      </w:r>
      <w:bookmarkEnd w:id="67"/>
    </w:p>
    <w:p>
      <w:pPr>
        <w:pStyle w:val="FirstParagraph"/>
      </w:pPr>
      <w:r>
        <w:t xml:space="preserve">If an emotion is the error signal in a behavioral control system, and that’s the cybernetic claim, then combining the frameworks changes something worth noticing about it. The error isn’t computed against a measured state. It’s computed against an</w:t>
      </w:r>
      <w:r>
        <w:t xml:space="preserve"> </w:t>
      </w:r>
      <w:r>
        <w:rPr>
          <w:b/>
        </w:rPr>
        <w:t xml:space="preserve">inferred</w:t>
      </w:r>
      <w:r>
        <w:t xml:space="preserve"> </w:t>
      </w:r>
      <w:r>
        <w:t xml:space="preserve">one.</w:t>
      </w:r>
    </w:p>
    <w:p>
      <w:pPr>
        <w:pStyle w:val="BodyText"/>
      </w:pPr>
      <w:r>
        <w:t xml:space="preserve">Anxiety on this reading isn’t the registration of danger. It’s the gap between an inferred level of danger and the level the system is prepared to tolerate. Loneliness is the gap between inferred social connection and a set point for it. Both quantities on the left of that comparison are estimates, assembled by weighing what you expected against what you sensed.</w:t>
      </w:r>
    </w:p>
    <w:p>
      <w:pPr>
        <w:pStyle w:val="BodyText"/>
      </w:pPr>
      <w:r>
        <w:t xml:space="preserve">Sit with that, because it explains something every clinician watches happen and the pure cybernetic account can’t handle.</w:t>
      </w:r>
    </w:p>
    <w:p>
      <w:pPr>
        <w:pStyle w:val="BodyText"/>
      </w:pPr>
      <w:r>
        <w:t xml:space="preserve">If emotions were error signals computed on measurements, reframing shouldn’t touch them. A thermostat doesn’t feel differently about 62 degrees once you explain the situation to it. But emotions are famously responsive to reframing, context, and new information, and they’re responsive precisely because the thing being compared to the set point is an inference. Inferences move when the evidence moves or the expectation moves.</w:t>
      </w:r>
    </w:p>
    <w:p>
      <w:pPr>
        <w:pStyle w:val="BodyText"/>
      </w:pPr>
      <w:r>
        <w:t xml:space="preserve">It also explains the ceiling on reframing, which clinicians watch just as often. Changing a high-level belief doesn’t automatically change a low-level estimate, because the estimate is assembled across a hierarchy and the lower levels carry their own precision settings.</w:t>
      </w:r>
    </w:p>
    <w:p>
      <w:pPr>
        <w:pStyle w:val="BodyText"/>
      </w:pPr>
      <w:r>
        <w:t xml:space="preserve">“</w:t>
      </w:r>
      <w:r>
        <w:t xml:space="preserve">I know it’s irrational and I still feel it</w:t>
      </w:r>
      <w:r>
        <w:t xml:space="preserve">”</w:t>
      </w:r>
      <w:r>
        <w:t xml:space="preserve"> </w:t>
      </w:r>
      <w:r>
        <w:t xml:space="preserve">isn’t a failure of insight. It’s what updating one level while another level keeps weighing the evidence exactly as before actually feels like.</w:t>
      </w:r>
    </w:p>
    <w:p>
      <w:pPr>
        <w:pStyle w:val="Heading2"/>
      </w:pPr>
      <w:bookmarkStart w:id="68" w:name="a-learning-theory-of-regulation"/>
      <w:r>
        <w:t xml:space="preserve">4.4 A learning theory of regulation</w:t>
      </w:r>
      <w:bookmarkEnd w:id="68"/>
    </w:p>
    <w:p>
      <w:pPr>
        <w:pStyle w:val="FirstParagraph"/>
      </w:pPr>
      <w:r>
        <w:t xml:space="preserve">The most useful thing that falls out of combining the frameworks is that the regulatory parameters become</w:t>
      </w:r>
      <w:r>
        <w:t xml:space="preserve"> </w:t>
      </w:r>
      <w:r>
        <w:rPr>
          <w:b/>
        </w:rPr>
        <w:t xml:space="preserve">learned quantities</w:t>
      </w:r>
      <w:r>
        <w:t xml:space="preserve">. That’s what earns the phrase</w:t>
      </w:r>
      <w:r>
        <w:t xml:space="preserve"> </w:t>
      </w:r>
      <w:r>
        <w:t xml:space="preserve">“</w:t>
      </w:r>
      <w:r>
        <w:t xml:space="preserve">a learning theory of emotional regulation,</w:t>
      </w:r>
      <w:r>
        <w:t xml:space="preserve">”</w:t>
      </w:r>
      <w:r>
        <w:t xml:space="preserve"> </w:t>
      </w:r>
      <w:r>
        <w:t xml:space="preserve">and it carries the clearest clinical implication in this document.</w:t>
      </w:r>
    </w:p>
    <w:p>
      <w:pPr>
        <w:pStyle w:val="BodyText"/>
      </w:pPr>
      <w:r>
        <w:t xml:space="preserve">None of K, L, damping, or the set point is fixed at birth in any interesting sense. Each one gets estimated from experience, and each one gets estimated from a statistic of the environment the person actually lived in.</w:t>
      </w:r>
    </w:p>
    <w:p>
      <w:pPr>
        <w:pStyle w:val="BodyText"/>
      </w:pPr>
      <w:r>
        <w:rPr>
          <w:b/>
        </w:rPr>
        <w:t xml:space="preserve">Observer gain is learned from volatility.</w:t>
      </w:r>
      <w:r>
        <w:t xml:space="preserve"> </w:t>
      </w:r>
      <w:r>
        <w:t xml:space="preserve">How much you should let new evidence move your estimate depends on how fast the world actually changes. In a stable environment a surprising observation is probably noise and should be discounted. In a volatile one it’s probably signal and should move you a long way. Humans demonstrably track this. Learning rates rise under volatility and fall under stability (Behrens, Woolrich, Walton &amp; Rushworth, 2007). Somebody who grew up in a genuinely unpredictable house learned to weight incoming evidence heavily, because in that house it WAS heavily weighted evidence.</w:t>
      </w:r>
    </w:p>
    <w:p>
      <w:pPr>
        <w:pStyle w:val="BodyText"/>
      </w:pPr>
      <w:r>
        <w:rPr>
          <w:b/>
        </w:rPr>
        <w:t xml:space="preserve">Controller gain is learned from consequence.</w:t>
      </w:r>
      <w:r>
        <w:t xml:space="preserve"> </w:t>
      </w:r>
      <w:r>
        <w:t xml:space="preserve">How hard you should act on a given error depends on what happened historically when you under-responded. In an environment where small problems reliably became large ones and nobody else stepped in, a high controller gain isn’t a malfunction. It’s the correct setting for that environment, learned correctly.</w:t>
      </w:r>
    </w:p>
    <w:p>
      <w:pPr>
        <w:pStyle w:val="BodyText"/>
      </w:pPr>
      <w:r>
        <w:rPr>
          <w:b/>
        </w:rPr>
        <w:t xml:space="preserve">Set points shift by allostasis.</w:t>
      </w:r>
      <w:r>
        <w:t xml:space="preserve"> </w:t>
      </w:r>
      <w:r>
        <w:t xml:space="preserve">They aren’t fixed targets. They’re predictively adjusted ones, moved in anticipation of demand rather than in response to it (Sterling, 2012). Stephan and colleagues (2016) formalize this as prior beliefs defining the reference values for homeostatic reflexes, and build a clinical model of fatigue and depression on top of it.</w:t>
      </w:r>
    </w:p>
    <w:p>
      <w:pPr>
        <w:pStyle w:val="BodyText"/>
      </w:pPr>
      <w:r>
        <w:rPr>
          <w:b/>
        </w:rPr>
        <w:t xml:space="preserve">Damping is learned from overshoot.</w:t>
      </w:r>
      <w:r>
        <w:t xml:space="preserve"> </w:t>
      </w:r>
      <w:r>
        <w:t xml:space="preserve">A system that has overcorrected repeatedly and paid for it should learn to wait. A system that got punished for waiting learned not to.</w:t>
      </w:r>
    </w:p>
    <w:p>
      <w:pPr>
        <w:pStyle w:val="BodyText"/>
      </w:pPr>
      <w:r>
        <w:t xml:space="preserve">Put those four together and you get a claim worth saying out loud, because it reframes a great deal of what walks into a consulting room:</w:t>
      </w:r>
    </w:p>
    <w:p>
      <w:pPr>
        <w:pStyle w:val="BodyText"/>
      </w:pPr>
      <w:r>
        <w:rPr>
          <w:b/>
        </w:rPr>
        <w:t xml:space="preserve">Most of what presents as dysregulation is a correctly learned parameter running in the wrong environment.</w:t>
      </w:r>
    </w:p>
    <w:p>
      <w:pPr>
        <w:pStyle w:val="BodyText"/>
      </w:pPr>
      <w:r>
        <w:t xml:space="preserve">The settings aren’t errors. They’re accurate solutions to a previous problem, carried forward into a situation with different statistics. That’s a rational-adaptation account of psychopathology instead of a deficit account. It matches what people tell you about their own histories. And it’s considerably easier to say to a client than most of the alternatives.</w:t>
      </w:r>
    </w:p>
    <w:p>
      <w:pPr>
        <w:pStyle w:val="BodyText"/>
      </w:pPr>
      <w:r>
        <w:t xml:space="preserve">It carries a warning too. A parameter learned over fifteen years from consistent evidence is not going to be revised by one good afternoon of argument. Under this model the rate at which a regulatory parameter can change is itself governed by how much evidence stands behind it. That’s why insight is a poor lever and repeated disconfirming experience is a good one.</w:t>
      </w:r>
    </w:p>
    <w:p>
      <w:pPr>
        <w:pStyle w:val="BodyText"/>
      </w:pPr>
      <w:r>
        <w:t xml:space="preserve">Which is also where my other profession keeps showing up. You don’t re-tune a control system by explaining to it that its gain is wrong. You run it, you instrument it, you look at the data, and you let the results outrank whatever you believed at the whiteboard. People are harder than hardware, and the order of operations is the same.</w:t>
      </w:r>
    </w:p>
    <w:p>
      <w:pPr>
        <w:pStyle w:val="Heading2"/>
      </w:pPr>
      <w:bookmarkStart w:id="69" w:name="X53d9fddd16e1bb50b1e0e62596036624b2e6c25"/>
      <w:r>
        <w:t xml:space="preserve">4.5 What oscillation does and doesn’t tell you</w:t>
      </w:r>
      <w:bookmarkEnd w:id="69"/>
    </w:p>
    <w:p>
      <w:pPr>
        <w:pStyle w:val="FirstParagraph"/>
      </w:pPr>
      <w:r>
        <w:t xml:space="preserve">A second question came in the margin, and it’s sharper than it looks. Do the oscillation findings point at a problem with priors, with predictions, or is it inconclusive?</w:t>
      </w:r>
    </w:p>
    <w:p>
      <w:pPr>
        <w:pStyle w:val="BodyText"/>
      </w:pPr>
      <w:r>
        <w:t xml:space="preserve">Strictly, on their own, they’re inconclusive about priors. That turns out to be informative rather than disappointing.</w:t>
      </w:r>
    </w:p>
    <w:p>
      <w:pPr>
        <w:pStyle w:val="BodyText"/>
      </w:pPr>
      <w:r>
        <w:t xml:space="preserve">Oscillation is a controller-side phenomenon. A loop oscillates when the correction is too strong relative to the damping, or when delay makes corrections arrive based on stale error. None of those three quantities, L, damping, delay, is the prior-versus-evidence weighting. The postural and force-tracking findings don’t adjudicate the fourteen-year argument about K, and they were never going to.</w:t>
      </w:r>
    </w:p>
    <w:p>
      <w:pPr>
        <w:pStyle w:val="BodyText"/>
      </w:pPr>
      <w:r>
        <w:t xml:space="preserve">Which is the argument for taking them seriously. If the repetitive features of the phenotype are a controller-side signature, then a literature that only ever theorized about the observer side would be expected to have failed to explain them.</w:t>
      </w:r>
    </w:p>
    <w:p>
      <w:pPr>
        <w:pStyle w:val="BodyText"/>
      </w:pPr>
      <w:r>
        <w:t xml:space="preserve">That’s exactly what happened.</w:t>
      </w:r>
    </w:p>
    <w:p>
      <w:pPr>
        <w:pStyle w:val="BodyText"/>
      </w:pPr>
      <w:r>
        <w:t xml:space="preserve">Two honest complications. High observer gain also destabilizes a loop, because an estimate chasing sensory noise feeds a jittery reference into the controller, and the controller then chases the jitter. Total loop gain includes both. K and L don’t separate cleanly in their effects on stability.</w:t>
      </w:r>
    </w:p>
    <w:p>
      <w:pPr>
        <w:pStyle w:val="BodyText"/>
      </w:pPr>
      <w:r>
        <w:t xml:space="preserve">The second complication is more useful, because they leave DIFFERENT signatures. Instability driven by high K should look like broadband noise-tracking: variance scaling with sensor noise, no preferred frequency, improvement when you clean up the sensory signal. Instability driven by high L with low damping should show a resonant peak at a characteristic frequency, largely independent of sensor noise, worsening when you add delay.</w:t>
      </w:r>
    </w:p>
    <w:p>
      <w:pPr>
        <w:pStyle w:val="BodyText"/>
      </w:pPr>
      <w:r>
        <w:t xml:space="preserve">Those are distinguishable with a frequency-domain analysis. In several cases, on data somebody has already collected.</w:t>
      </w:r>
    </w:p>
    <w:p>
      <w:pPr>
        <w:pStyle w:val="BodyText"/>
      </w:pPr>
      <w:r>
        <w:t xml:space="preserve">That’s the discriminating experiment, and it doesn’t require recruiting a single new participant.</w:t>
      </w:r>
    </w:p>
    <w:p>
      <w:pPr>
        <w:pStyle w:val="Heading2"/>
      </w:pPr>
      <w:bookmarkStart w:id="70" w:name="the-phase-locking-idea"/>
      <w:r>
        <w:t xml:space="preserve">4.6 The phase-locking idea</w:t>
      </w:r>
      <w:bookmarkEnd w:id="70"/>
    </w:p>
    <w:p>
      <w:pPr>
        <w:pStyle w:val="FirstParagraph"/>
      </w:pPr>
      <w:r>
        <w:t xml:space="preserve">A third margin question deserves more than a footnote, because it extends the model into the social domain where the autism literature has been weakest. Could we be running a phase-locked loop, and does autism disturb it?</w:t>
      </w:r>
    </w:p>
    <w:p>
      <w:pPr>
        <w:pStyle w:val="BodyText"/>
      </w:pPr>
      <w:r>
        <w:t xml:space="preserve">A phase-locked loop regulates the TIMING of an internal oscillator against an external rhythm. Three of its properties are worth borrowing. It has a</w:t>
      </w:r>
      <w:r>
        <w:t xml:space="preserve"> </w:t>
      </w:r>
      <w:r>
        <w:rPr>
          <w:b/>
        </w:rPr>
        <w:t xml:space="preserve">capture range</w:t>
      </w:r>
      <w:r>
        <w:t xml:space="preserve">, meaning it can only lock onto inputs close enough to its own natural frequency. It has a</w:t>
      </w:r>
      <w:r>
        <w:t xml:space="preserve"> </w:t>
      </w:r>
      <w:r>
        <w:rPr>
          <w:b/>
        </w:rPr>
        <w:t xml:space="preserve">lock range</w:t>
      </w:r>
      <w:r>
        <w:t xml:space="preserve">, wider than the capture range, meaning once locked it can hold on across a broader band than it could have grabbed from a standing start. And when it can’t lock at all it doesn’t go quiet. It</w:t>
      </w:r>
      <w:r>
        <w:t xml:space="preserve"> </w:t>
      </w:r>
      <w:r>
        <w:rPr>
          <w:b/>
        </w:rPr>
        <w:t xml:space="preserve">free-runs at its own natural frequency</w:t>
      </w:r>
      <w:r>
        <w:t xml:space="preserve">.</w:t>
      </w:r>
    </w:p>
    <w:p>
      <w:pPr>
        <w:pStyle w:val="BodyText"/>
      </w:pPr>
      <w:r>
        <w:t xml:space="preserve">Human social interaction is full of mutual timing regulation. Conversational turn-taking, gaze exchange, postural convergence, the coordinated rhythms of caregiving. Two systems adjusting to each other’s timing, with a substantial empirical literature behind it under the heading of interpersonal or biobehavioral synchrony (Feldman, 2012). Neural entrainment to external rhythm is well documented, and Beker, Foxe and Molholm (2021) found it REDUCED in autistic children.</w:t>
      </w:r>
    </w:p>
    <w:p>
      <w:pPr>
        <w:pStyle w:val="BodyText"/>
      </w:pPr>
      <w:r>
        <w:t xml:space="preserve">Three things follow if you take the analogy seriously. Each one is testable.</w:t>
      </w:r>
    </w:p>
    <w:p>
      <w:pPr>
        <w:pStyle w:val="BodyText"/>
      </w:pPr>
      <w:r>
        <w:rPr>
          <w:b/>
        </w:rPr>
        <w:t xml:space="preserve">Stimming as free-running.</w:t>
      </w:r>
      <w:r>
        <w:t xml:space="preserve"> </w:t>
      </w:r>
      <w:r>
        <w:t xml:space="preserve">If a regulatory loop can’t lock onto external structure, the prediction isn’t that it goes silent. It’s that it runs at its own natural frequency. That’s a mechanistically specific account of self-generated rhythmic behavior, and it predicts something the predictability account doesn’t. Stimming should INCREASE when external rhythm is present but unlockable, meaning irregular, unpredictable, or at the wrong tempo, and decrease when external rhythm is either absent entirely or well matched. A pure predictability account predicts things get monotonically better as you add environmental structure. The phase-locking account predicts a non-monotonic curve, where the worst condition is structure that almost works.</w:t>
      </w:r>
    </w:p>
    <w:p>
      <w:pPr>
        <w:pStyle w:val="BodyText"/>
      </w:pPr>
      <w:r>
        <w:rPr>
          <w:b/>
        </w:rPr>
        <w:t xml:space="preserve">Double empathy, stated formally.</w:t>
      </w:r>
      <w:r>
        <w:t xml:space="preserve"> </w:t>
      </w:r>
      <w:r>
        <w:t xml:space="preserve">Two oscillators with mismatched natural frequencies can’t lock to each other. Two with matched natural frequencies lock easily, whatever those frequencies happen to be. That’s a precise restatement of Milton’s (2012) double empathy problem, and it makes the same prediction: the difficulty is relational rather than located in one party, and autistic-to-autistic interaction should work better than the mixed case. Crompton and colleagues (2020) found precisely that. Information transfer in autistic-to-autistic chains was as effective as in non-autistic chains, and both beat mixed chains. A capture-range account predicts that result. A social-deficit account doesn’t.</w:t>
      </w:r>
    </w:p>
    <w:p>
      <w:pPr>
        <w:pStyle w:val="BodyText"/>
      </w:pPr>
      <w:r>
        <w:rPr>
          <w:b/>
        </w:rPr>
        <w:t xml:space="preserve">Capture versus lock.</w:t>
      </w:r>
      <w:r>
        <w:t xml:space="preserve"> </w:t>
      </w:r>
      <w:r>
        <w:t xml:space="preserve">The distinction predicts that starting an interaction should cost more than sustaining one, which matches what clinicians hear constantly. The first five minutes are expensive. Familiar people are cheap.</w:t>
      </w:r>
    </w:p>
    <w:p>
      <w:pPr>
        <w:pStyle w:val="BodyText"/>
      </w:pPr>
      <w:r>
        <w:drawing>
          <wp:inline>
            <wp:extent cx="5334000" cy="2399100"/>
            <wp:effectExtent b="0" l="0" r="0" t="0"/>
            <wp:docPr descr="" title="" id="1" name="Picture"/>
            <a:graphic>
              <a:graphicData uri="http://schemas.openxmlformats.org/drawingml/2006/picture">
                <pic:pic>
                  <pic:nvPicPr>
                    <pic:cNvPr descr="figures/fig-4-2-phase-lock.png" id="0" name="Picture"/>
                    <pic:cNvPicPr>
                      <a:picLocks noChangeArrowheads="1" noChangeAspect="1"/>
                    </pic:cNvPicPr>
                  </pic:nvPicPr>
                  <pic:blipFill>
                    <a:blip r:embed="rId71"/>
                    <a:stretch>
                      <a:fillRect/>
                    </a:stretch>
                  </pic:blipFill>
                  <pic:spPr bwMode="auto">
                    <a:xfrm>
                      <a:off x="0" y="0"/>
                      <a:ext cx="5334000" cy="2399100"/>
                    </a:xfrm>
                    <a:prstGeom prst="rect">
                      <a:avLst/>
                    </a:prstGeom>
                    <a:noFill/>
                    <a:ln w="9525">
                      <a:noFill/>
                      <a:headEnd/>
                      <a:tailEnd/>
                    </a:ln>
                  </pic:spPr>
                </pic:pic>
              </a:graphicData>
            </a:graphic>
          </wp:inline>
        </w:drawing>
      </w:r>
    </w:p>
    <w:p>
      <w:pPr>
        <w:pStyle w:val="BodyText"/>
      </w:pPr>
      <w:r>
        <w:rPr>
          <w:i/>
        </w:rPr>
        <w:t xml:space="preserve">Figure 4.2. Locking and free-running. When the loop can capture an external rhythm it tracks it. When it can’t, it doesn’t fall silent. It runs at its own natural frequency.</w:t>
      </w:r>
    </w:p>
    <w:p>
      <w:pPr>
        <w:pStyle w:val="BodyText"/>
      </w:pPr>
      <w:r>
        <w:t xml:space="preserve">Two cautions. Brains aren’t phase-locked loops, and I’m using the term for a family of behaviors, capture range, lock range, free-running, rather than for a specific circuit. And the strongest supporting result cuts awkwardly. If autistic neural entrainment to rhythm really is reduced (Beker et al., 2021), reduced capture is supported, but the free-running account of stimming needs the internal oscillator to stay intact. Nobody has tested that.</w:t>
      </w:r>
    </w:p>
    <w:p>
      <w:pPr>
        <w:pStyle w:val="BodyText"/>
      </w:pPr>
      <w:r>
        <w:t xml:space="preserve">The idea is worth chasing. Right now it’s unsupported.</w:t>
      </w:r>
    </w:p>
    <w:p>
      <w:pPr>
        <w:pStyle w:val="Heading2"/>
      </w:pPr>
      <w:bookmarkStart w:id="72" w:name="a-what-this-architecture-commits-us-to"/>
      <w:r>
        <w:t xml:space="preserve">4.6a What this architecture commits us to</w:t>
      </w:r>
      <w:bookmarkEnd w:id="72"/>
    </w:p>
    <w:p>
      <w:pPr>
        <w:pStyle w:val="FirstParagraph"/>
      </w:pPr>
      <w:r>
        <w:t xml:space="preserve">Stating the cost plainly. Once the prediction is the set point, the error the controller sees is a discrepancy between predicted and actual sensation rather than a gap between a state and an independently specified goal.</w:t>
      </w:r>
    </w:p>
    <w:p>
      <w:pPr>
        <w:pStyle w:val="BodyText"/>
      </w:pPr>
      <w:r>
        <w:t xml:space="preserve">That’s the active-inference architecture, and adopting it takes a side in a live dispute. Classical control engineering keeps the reference separate from the estimate, which is precisely what licenses tuning the estimator and the controller independently (Kalman, 1960; Joseph &amp; Tou, 1961; Wonham, 1968). Friston’s position is that biological systems have no such separate reference, because the goal is a prior inside the generative model rather than a cost outside it. Kennaway (2025) argues the two frameworks can’t be reconciled at all.</w:t>
      </w:r>
    </w:p>
    <w:p>
      <w:pPr>
        <w:pStyle w:val="BodyText"/>
      </w:pPr>
      <w:r>
        <w:t xml:space="preserve">The architecture drawn here is the biological one. Nothing hands an organism a reference signal. It infers what should be happening and acts to make the world match, and the sensation that tells it whether the action worked is the same sensation it used to form the belief.</w:t>
      </w:r>
    </w:p>
    <w:p>
      <w:pPr>
        <w:pStyle w:val="BodyText"/>
      </w:pPr>
      <w:r>
        <w:t xml:space="preserve">What survives either way is the clinical distinction. Whether or not the two gains are formally separable in the mathematics, a clinician who can ask separately how confident is this belief and how hard is this person acting on it has two questions where the field has offered one.</w:t>
      </w:r>
    </w:p>
    <w:p>
      <w:pPr>
        <w:pStyle w:val="Heading2"/>
      </w:pPr>
      <w:bookmarkStart w:id="73" w:name="what-kind-of-claim-this-is"/>
      <w:r>
        <w:t xml:space="preserve">4.7 What kind of claim this is</w:t>
      </w:r>
      <w:bookmarkEnd w:id="73"/>
    </w:p>
    <w:p>
      <w:pPr>
        <w:pStyle w:val="FirstParagraph"/>
      </w:pPr>
      <w:r>
        <w:t xml:space="preserve">None of this is a new theory, and presenting it as one would be a mistake.</w:t>
      </w:r>
    </w:p>
    <w:p>
      <w:pPr>
        <w:pStyle w:val="BodyText"/>
      </w:pPr>
      <w:r>
        <w:t xml:space="preserve">Every component is published. The estimation half is worked out in detail. The regulation half has a fifty-year literature behind it. The formal machinery for combining them turns sixty-six this year. Homeostatic set points have been treated formally as prior beliefs (Pezzulo, Rigoli &amp; Friston, 2015; Stephan et al., 2016; Tschantz et al., 2022), and one paper states the division of labor in its title:</w:t>
      </w:r>
      <w:r>
        <w:t xml:space="preserve"> </w:t>
      </w:r>
      <w:r>
        <w:t xml:space="preserve">“</w:t>
      </w:r>
      <w:r>
        <w:t xml:space="preserve">Interoception as modeling, allostasis as control</w:t>
      </w:r>
      <w:r>
        <w:t xml:space="preserve">”</w:t>
      </w:r>
      <w:r>
        <w:t xml:space="preserve"> </w:t>
      </w:r>
      <w:r>
        <w:t xml:space="preserve">(Sennesh et al., 2022).</w:t>
      </w:r>
    </w:p>
    <w:p>
      <w:pPr>
        <w:pStyle w:val="BodyText"/>
      </w:pPr>
      <w:r>
        <w:t xml:space="preserve">What hasn’t been done is using the two-gain distinction as an organizing device for clinical thinking, and applying it to a phenotype where the controller-side signature has been measured four separate times and never named as such.</w:t>
      </w:r>
    </w:p>
    <w:p>
      <w:pPr>
        <w:pStyle w:val="BodyText"/>
      </w:pPr>
      <w:r>
        <w:t xml:space="preserve">There’s also a live objection that has to be met rather than dodged. Kennaway (2025) published a direct comparison of Perceptual Control Theory and the free energy principle and concluded they’re fundamentally incompatible rather than complementary. Control theory sharply distinguishes action from prediction; the free energy framework treats action as a species of prediction. Friston’s own position is stronger still. There’s no separate controller to combine with an estimator, because the goal is a prior INSIDE the model rather than a cost outside it, which leaves precision as the only free parameter standing.</w:t>
      </w:r>
    </w:p>
    <w:p>
      <w:pPr>
        <w:pStyle w:val="BodyText"/>
      </w:pPr>
      <w:r>
        <w:t xml:space="preserve">The position I’m taking is a third one. Whether the two halves are genuinely separable modules or one coupled process is an empirical question, not a matter of theoretical taste, and nobody has treated it as one.</w:t>
      </w:r>
    </w:p>
    <w:p>
      <w:pPr>
        <w:pStyle w:val="BodyText"/>
      </w:pPr>
      <w:r>
        <w:t xml:space="preserve">The clinical value of the two-gain framing doesn’t depend on winning that argument. Even if the brain doesn’t implement two independent gains, a clinician who can ask separately how confident is this belief and how hard is this person acting on it has two questions where there used to be one.</w:t>
      </w:r>
    </w:p>
    <w:p>
      <w:pPr>
        <w:pStyle w:val="BodyText"/>
      </w:pPr>
      <w:r>
        <w:t xml:space="preserve">Those two questions have different answers. They have different interventions. That’s enough to be worth the trouble.</w:t>
      </w:r>
    </w:p>
    <w:p>
      <w:r>
        <w:br w:type="page"/>
      </w:r>
    </w:p>
    <w:p>
      <w:pPr>
        <w:pStyle w:val="Heading1"/>
      </w:pPr>
      <w:bookmarkStart w:id="74" w:name="X03a1ab6caad23a55958213044f42473b79c442d"/>
      <w:r>
        <w:t xml:space="preserve">5. Autism under the combined model: what fits, and what would refute it</w:t>
      </w:r>
      <w:bookmarkEnd w:id="74"/>
    </w:p>
    <w:p>
      <w:pPr>
        <w:pStyle w:val="FirstParagraph"/>
      </w:pPr>
      <w:r>
        <w:t xml:space="preserve">The model just described makes one structural claim. Some autistic presentations read better as a regulatory loop running with high observer gain and insufficient damping than as a pile of independent deficits in sensation, motor control, flexibility and social cognition. This section puts that claim against the phenotype, four existing empirical findings, the treatment literature, and the results that would show it is wrong.</w:t>
      </w:r>
    </w:p>
    <w:p>
      <w:pPr>
        <w:pStyle w:val="BodyText"/>
      </w:pPr>
      <w:r>
        <w:t xml:space="preserve">Put the caution at the front. Nothing here is a finding.</w:t>
      </w:r>
    </w:p>
    <w:p>
      <w:pPr>
        <w:pStyle w:val="BodyText"/>
      </w:pPr>
      <w:r>
        <w:t xml:space="preserve">The mapping in 5.1 is a hypothesis about how known clinical features might be organized. The evidence in 5.2 was collected by investigators testing something else entirely. The treatment discussion in 5.3 asks which interventions are</w:t>
      </w:r>
      <w:r>
        <w:t xml:space="preserve"> </w:t>
      </w:r>
      <w:r>
        <w:rPr>
          <w:i/>
        </w:rPr>
        <w:t xml:space="preserve">consistent with</w:t>
      </w:r>
      <w:r>
        <w:t xml:space="preserve"> </w:t>
      </w:r>
      <w:r>
        <w:t xml:space="preserve">the model, which is a far weaker question than whether they work. Section 5.4 is the part that matters, because a framework you can’t break isn’t a framework.</w:t>
      </w:r>
    </w:p>
    <w:p>
      <w:r>
        <w:pict>
          <v:rect style="width:0;height:1.5pt" o:hralign="center" o:hrstd="t" o:hr="t"/>
        </w:pict>
      </w:r>
    </w:p>
    <w:p>
      <w:pPr>
        <w:pStyle w:val="Heading2"/>
      </w:pPr>
      <w:bookmarkStart w:id="75" w:name="Xbe0111b6ffc1af8d5219b7dd7a6d49d57151322"/>
      <w:r>
        <w:t xml:space="preserve">5.1 Mapping the autistic phenotype onto the parameters</w:t>
      </w:r>
      <w:bookmarkEnd w:id="75"/>
    </w:p>
    <w:p>
      <w:pPr>
        <w:pStyle w:val="Heading3"/>
      </w:pPr>
      <w:bookmarkStart w:id="76" w:name="observer-gain"/>
      <w:r>
        <w:t xml:space="preserve">Observer gain</w:t>
      </w:r>
      <w:bookmarkEnd w:id="76"/>
    </w:p>
    <w:p>
      <w:pPr>
        <w:pStyle w:val="FirstParagraph"/>
      </w:pPr>
      <w:r>
        <w:t xml:space="preserve">Observer gain is the weight given to new sensory evidence relative to the prediction already in play. The predictive-processing literature calls it</w:t>
      </w:r>
      <w:r>
        <w:t xml:space="preserve"> </w:t>
      </w:r>
      <w:r>
        <w:rPr>
          <w:i/>
        </w:rPr>
        <w:t xml:space="preserve">precision</w:t>
      </w:r>
      <w:r>
        <w:t xml:space="preserve">. A high-gain observer treats every incoming sample as highly informative, so the estimate of the controlled variable tracks the sensory stream closely and stays noisy.</w:t>
      </w:r>
    </w:p>
    <w:p>
      <w:pPr>
        <w:pStyle w:val="BodyText"/>
      </w:pPr>
      <w:r>
        <w:rPr>
          <w:b/>
        </w:rPr>
        <w:t xml:space="preserve">Sensory hyper-reactivity.</w:t>
      </w:r>
      <w:r>
        <w:t xml:space="preserve"> </w:t>
      </w:r>
      <w:r>
        <w:t xml:space="preserve">Reacting strongly to a stimulus other people filter out is, in observer terms, assigning high precision to a channel the prediction says should be ignorable. The subjective report (the fluorescent hum that never recedes, the tag that never stops being felt) is what a failure of predictive attenuation feels like from the inside.</w:t>
      </w:r>
    </w:p>
    <w:p>
      <w:pPr>
        <w:pStyle w:val="BodyText"/>
      </w:pPr>
      <w:r>
        <w:rPr>
          <w:b/>
        </w:rPr>
        <w:t xml:space="preserve">Sensory hypo-reactivity.</w:t>
      </w:r>
      <w:r>
        <w:t xml:space="preserve"> </w:t>
      </w:r>
      <w:r>
        <w:t xml:space="preserve">The harder case, and the model doesn’t handle it cleanly. Low registration can be modeled as low gain on a channel. It can equally reflect attentional allocation, a detection threshold, or competition from a channel currently consuming the available precision. The model accommodates hypo-reactivity. It does not predict it. That asymmetry is a weakness, and it recurs below.</w:t>
      </w:r>
    </w:p>
    <w:p>
      <w:pPr>
        <w:pStyle w:val="BodyText"/>
      </w:pPr>
      <w:r>
        <w:rPr>
          <w:b/>
        </w:rPr>
        <w:t xml:space="preserve">Perceptual differences.</w:t>
      </w:r>
      <w:r>
        <w:t xml:space="preserve"> </w:t>
      </w:r>
      <w:r>
        <w:t xml:space="preserve">Enhanced discrimination, reduced susceptibility to certain visual illusions, and detail-oriented processing all fit an observer weighting sample over prior. This is the most-worked area of the predictive-processing autism literature and the least novel part of what’s proposed here.</w:t>
      </w:r>
    </w:p>
    <w:p>
      <w:pPr>
        <w:pStyle w:val="BodyText"/>
      </w:pPr>
      <w:r>
        <w:rPr>
          <w:b/>
        </w:rPr>
        <w:t xml:space="preserve">Slow prior consolidation.</w:t>
      </w:r>
      <w:r>
        <w:t xml:space="preserve"> </w:t>
      </w:r>
      <w:r>
        <w:t xml:space="preserve">Priors built more slowly, or held with lower precision once built, force the observer to lean harder on current evidence. That’s raised observer gain arrived at from the other direction. Clinically, the same phenotype comes out of turning gain up or out of weakening the prior, and behavior alone won’t distinguish them.</w:t>
      </w:r>
    </w:p>
    <w:p>
      <w:pPr>
        <w:pStyle w:val="Heading3"/>
      </w:pPr>
      <w:bookmarkStart w:id="77" w:name="controller-gain-and-damping"/>
      <w:r>
        <w:t xml:space="preserve">Controller gain and damping</w:t>
      </w:r>
      <w:bookmarkEnd w:id="77"/>
    </w:p>
    <w:p>
      <w:pPr>
        <w:pStyle w:val="FirstParagraph"/>
      </w:pPr>
      <w:r>
        <w:t xml:space="preserve">Controller gain is how aggressively the system acts on computed error. Damping determines whether those actions converge or overshoot.</w:t>
      </w:r>
    </w:p>
    <w:p>
      <w:pPr>
        <w:pStyle w:val="BodyText"/>
      </w:pPr>
      <w:r>
        <w:rPr>
          <w:b/>
        </w:rPr>
        <w:t xml:space="preserve">Repetitive behavior as an oscillatory signature.</w:t>
      </w:r>
      <w:r>
        <w:t xml:space="preserve"> </w:t>
      </w:r>
      <w:r>
        <w:t xml:space="preserve">A loop with high gain and low damping doesn’t sit still at the set point. It overshoots, corrects, overshoots again, and settles into a limit cycle: a self-sustaining oscillation with a characteristic frequency. Rocking, hand movements, pacing and vocal repetition all have that form. Rhythmic, roughly periodic, self-terminating when the disturbance passes. Saying stereotypy is</w:t>
      </w:r>
      <w:r>
        <w:t xml:space="preserve"> </w:t>
      </w:r>
      <w:r>
        <w:rPr>
          <w:i/>
        </w:rPr>
        <w:t xml:space="preserve">caused by</w:t>
      </w:r>
      <w:r>
        <w:t xml:space="preserve"> </w:t>
      </w:r>
      <w:r>
        <w:t xml:space="preserve">oscillation in some loose sense misses the point. The claim is that stereotypy</w:t>
      </w:r>
      <w:r>
        <w:t xml:space="preserve"> </w:t>
      </w:r>
      <w:r>
        <w:rPr>
          <w:i/>
        </w:rPr>
        <w:t xml:space="preserve">is</w:t>
      </w:r>
      <w:r>
        <w:t xml:space="preserve"> </w:t>
      </w:r>
      <w:r>
        <w:t xml:space="preserve">oscillation in the engineering sense, and should therefore have measurable frequency structure.</w:t>
      </w:r>
    </w:p>
    <w:p>
      <w:pPr>
        <w:pStyle w:val="BodyText"/>
      </w:pPr>
      <w:r>
        <w:rPr>
          <w:b/>
        </w:rPr>
        <w:t xml:space="preserve">Insistence on sameness.</w:t>
      </w:r>
      <w:r>
        <w:t xml:space="preserve"> </w:t>
      </w:r>
      <w:r>
        <w:t xml:space="preserve">An under-damped loop is fine until something perturbs it. Its vulnerability is transient response, the ringing that follows a step input. A system that oscillates badly after every disturbance has a rational interest in preventing disturbances. Read that way, insistence on sameness stops looking like rigidity as a trait and starts looking like disturbance avoidance in a system whose recovery is expensive.</w:t>
      </w:r>
    </w:p>
    <w:p>
      <w:pPr>
        <w:pStyle w:val="BodyText"/>
      </w:pPr>
      <w:r>
        <w:rPr>
          <w:b/>
        </w:rPr>
        <w:t xml:space="preserve">Difficulty settling and meltdown escalation.</w:t>
      </w:r>
      <w:r>
        <w:t xml:space="preserve"> </w:t>
      </w:r>
      <w:r>
        <w:t xml:space="preserve">Escalation is what an under-damped loop does when the disturbance persists, or when corrections generate new error. A meltdown (corrective attempts feeding the state rather than resolving it, ending in exhaustion rather than resolution) maps onto instability better than onto emotional intensity. That distinction is testable. An intensity account predicts response size scales with trigger size. An instability account predicts that past a threshold, response size becomes largely independent of trigger size.</w:t>
      </w:r>
    </w:p>
    <w:p>
      <w:pPr>
        <w:pStyle w:val="Heading3"/>
      </w:pPr>
      <w:bookmarkStart w:id="78" w:name="set-point"/>
      <w:r>
        <w:t xml:space="preserve">Set point</w:t>
      </w:r>
      <w:bookmarkEnd w:id="78"/>
    </w:p>
    <w:p>
      <w:pPr>
        <w:pStyle w:val="FirstParagraph"/>
      </w:pPr>
      <w:r>
        <w:t xml:space="preserve">Set point is the target the loop defends. Two people with identical gain and damping but different set points will look opposite.</w:t>
      </w:r>
    </w:p>
    <w:p>
      <w:pPr>
        <w:pStyle w:val="BodyText"/>
      </w:pPr>
      <w:r>
        <w:t xml:space="preserve">The closest existing precedent for treating this as a separate dimension is Dunn’s (1997) conceptual model, which crosses neurological threshold (high versus low) with behavioral response strategy (acting in accordance with the threshold versus counteracting it) to give four quadrants: low registration, sensation seeking, sensory sensitivity, sensation avoiding. Dunn’s threshold isn’t observer gain. It sits closer to a detection threshold than to a precision weight. But the response-strategy dimension does the work a set point does in a control model. Seeking and avoiding are two behavioral solutions applied to different threshold conditions, which in control terms means two directions of corrective action around different targets.</w:t>
      </w:r>
    </w:p>
    <w:p>
      <w:pPr>
        <w:pStyle w:val="BodyText"/>
      </w:pPr>
      <w:r>
        <w:t xml:space="preserve">State the parallel, then don’t oversell it. Dunn’s is a clinical framework with a widely used instrument behind it, not a mechanistic one, and the instrument’s empirical picture isn’t tidy. One clinically referred sample found non-autistic children scoring</w:t>
      </w:r>
      <w:r>
        <w:t xml:space="preserve"> </w:t>
      </w:r>
      <w:r>
        <w:rPr>
          <w:i/>
        </w:rPr>
        <w:t xml:space="preserve">higher</w:t>
      </w:r>
      <w:r>
        <w:t xml:space="preserve"> </w:t>
      </w:r>
      <w:r>
        <w:t xml:space="preserve">than autistic children on sensory avoiding and sensitivity, with no group difference in seeking or registration (Kadlaskar et al., 2026).</w:t>
      </w:r>
    </w:p>
    <w:p>
      <w:pPr>
        <w:pStyle w:val="Heading3"/>
      </w:pPr>
      <w:bookmarkStart w:id="79" w:name="delay"/>
      <w:r>
        <w:t xml:space="preserve">Delay</w:t>
      </w:r>
      <w:bookmarkEnd w:id="79"/>
    </w:p>
    <w:p>
      <w:pPr>
        <w:pStyle w:val="FirstParagraph"/>
      </w:pPr>
      <w:r>
        <w:t xml:space="preserve">Transport delay is the least-discussed parameter and the most reliably destabilizing one. Adding lag reduces phase margin. A loop that is stable with no delay can be driven into oscillation by delay alone, without touching gain.</w:t>
      </w:r>
    </w:p>
    <w:p>
      <w:pPr>
        <w:pStyle w:val="BodyText"/>
      </w:pPr>
      <w:r>
        <w:t xml:space="preserve">Wallace and Stevenson (2014) set out the temporal binding window construct and reviewed evidence that it is widened across several neurodevelopmental conditions including autism. Zhou et al.’s (2018) meta-analysis quantified it. Impairment in sensory temporal integration was of comparable magnitude in autism spectrum disorders (Hedges’ g = 0.85, 95% CI [0.54, 1.15]) and schizophrenia spectrum disorders (g = 0.91, 95% CI [0.62, 1.19]), and more consistent for multisensory than unisensory binding. A widened window is an integration aperture, not a latency, so it isn’t loop delay. A system integrating over a wider aperture is still functionally acting on older evidence.</w:t>
      </w:r>
    </w:p>
    <w:p>
      <w:pPr>
        <w:pStyle w:val="BodyText"/>
      </w:pPr>
      <w:r>
        <w:t xml:space="preserve">The effect may not hold across the lifespan. Zhou et al. (2022) tested 35 verbally fluent autistic adults against 48 controls and 43 first-episode schizophrenia patients, and found intact unisensory and audiovisual temporal processing in the autistic adults while the schizophrenia group showed the widened window. If binding differences attenuate into adulthood while repetitive behavior doesn’t, delay can’t be carrying much explanatory load.</w:t>
      </w:r>
    </w:p>
    <w:p>
      <w:pPr>
        <w:pStyle w:val="Heading3"/>
      </w:pPr>
      <w:bookmarkStart w:id="80" w:name="arbitration-and-switching"/>
      <w:r>
        <w:t xml:space="preserve">Arbitration and switching</w:t>
      </w:r>
      <w:bookmarkEnd w:id="80"/>
    </w:p>
    <w:p>
      <w:pPr>
        <w:pStyle w:val="FirstParagraph"/>
      </w:pPr>
      <w:r>
        <w:t xml:space="preserve">Something has to decide which loop gets control. Monotropism is the closest thing in the literature to a theory of arbitration. Murray, Lesser and Lawson (2005) describe autistic attention as a small number of highly aroused interests at any moment rather than many weakly aroused ones. Autistic authors developed it, it has considerable face validity, and it predicts the switching cost clinicians observe directly.</w:t>
      </w:r>
    </w:p>
    <w:p>
      <w:pPr>
        <w:pStyle w:val="BodyText"/>
      </w:pPr>
      <w:r>
        <w:t xml:space="preserve">It also has no validated mechanistic operationalization. Dwyer et al. (2025) tested exactly the convergence that would be needed: 18 autistic and 22 comparison adolescents completed self- and caregiver-report hyperfocus measures alongside psychoacoustic tasks, visual working memory tasks, cross-modal attention capture measures, and an event-related potential paradigm using the N2pc and Pd components. Autistic participants scored higher on questionnaire hyperfocus and showed reduced visual working memory capacity. Groups did not differ on the ERP indices or on behavioral cross-modal attention capture, and the different classes of measure were generally unrelated to one another. With 18 autistic participants a real effect could have been missed. The caution stands anyway. Monotropism has self-report support and no confirmed laboratory correlate, and building a mechanistic model on it would be premature.</w:t>
      </w:r>
    </w:p>
    <w:p>
      <w:pPr>
        <w:pStyle w:val="Heading3"/>
      </w:pPr>
      <w:bookmarkStart w:id="81" w:name="what-this-mapping-is"/>
      <w:r>
        <w:t xml:space="preserve">What this mapping is</w:t>
      </w:r>
      <w:bookmarkEnd w:id="81"/>
    </w:p>
    <w:p>
      <w:pPr>
        <w:pStyle w:val="FirstParagraph"/>
      </w:pPr>
      <w:r>
        <w:t xml:space="preserve">A hypothesis about organization. Nothing more.</w:t>
      </w:r>
    </w:p>
    <w:p>
      <w:pPr>
        <w:pStyle w:val="BodyText"/>
      </w:pPr>
      <w:r>
        <w:t xml:space="preserve">Every feature above already has an established clinical description and, in most cases, an established measure. The model adds no new phenomena. Its only claim is that these are parameters of one system rather than separate impairments, and that claim earns its keep only by generating predictions the separate-deficit account doesn’t make.</w:t>
      </w:r>
    </w:p>
    <w:p>
      <w:r>
        <w:pict>
          <v:rect style="width:0;height:1.5pt" o:hralign="center" o:hrstd="t" o:hr="t"/>
        </w:pict>
      </w:r>
    </w:p>
    <w:p>
      <w:pPr>
        <w:pStyle w:val="Heading2"/>
      </w:pPr>
      <w:bookmarkStart w:id="82" w:name="the-existing-evidence-that-already-fits"/>
      <w:r>
        <w:t xml:space="preserve">5.2 The existing evidence that already fits</w:t>
      </w:r>
      <w:bookmarkEnd w:id="82"/>
    </w:p>
    <w:p>
      <w:pPr>
        <w:pStyle w:val="FirstParagraph"/>
      </w:pPr>
      <w:r>
        <w:t xml:space="preserve">Four bodies of work were designed to characterize motor deficits in autism. Read as motor deficits, they’re a scattered set of findings.</w:t>
      </w:r>
    </w:p>
    <w:p>
      <w:pPr>
        <w:pStyle w:val="BodyText"/>
      </w:pPr>
      <w:r>
        <w:t xml:space="preserve">Read as measurements of a control loop, they line up.</w:t>
      </w:r>
    </w:p>
    <w:p>
      <w:pPr>
        <w:pStyle w:val="Heading3"/>
      </w:pPr>
      <w:bookmarkStart w:id="83" w:name="force-oscillation-below-0.25-hz"/>
      <w:r>
        <w:t xml:space="preserve">Force oscillation below 0.25 Hz</w:t>
      </w:r>
      <w:bookmarkEnd w:id="83"/>
    </w:p>
    <w:p>
      <w:pPr>
        <w:pStyle w:val="FirstParagraph"/>
      </w:pPr>
      <w:r>
        <w:t xml:space="preserve">Lidstone et al. (2020) tested 79 children aged 7–17: 22 with autism, 17 with fetal alcohol spectrum disorder, 18 with ADHD, 22 typically developing. Each performed grip-force tracking under a low visuomotor-integration condition (static target) and a high one (dynamic target). Children with autism had difficulty tracking dynamic but not static targets, exceeding what the ADHD and FASD groups showed. The frequency analysis examined oscillations below 0.5 Hz. The significant group difference fell below 0.25 Hz, where the autism group showed a greater proportion of force oscillation than controls.</w:t>
      </w:r>
    </w:p>
    <w:p>
      <w:pPr>
        <w:pStyle w:val="BodyText"/>
      </w:pPr>
      <w:r>
        <w:t xml:space="preserve">Three features matter. The deficit appeared only when the target moved, only when the loop had to track a changing reference. It was specific relative to two other neurodevelopmental groups, which weakens a general-impairment explanation. And it took the form of excess low-frequency oscillation, which is what an under-damped loop produces, rather than random tracking error, which is what a noise account predicts.</w:t>
      </w:r>
    </w:p>
    <w:p>
      <w:pPr>
        <w:pStyle w:val="Heading3"/>
      </w:pPr>
      <w:bookmarkStart w:id="84" w:name="X872697480653f9a1e8f8986f37588dc44aeec01"/>
      <w:r>
        <w:t xml:space="preserve">Postural sway that worsens with the eyes open</w:t>
      </w:r>
      <w:bookmarkEnd w:id="84"/>
    </w:p>
    <w:p>
      <w:pPr>
        <w:pStyle w:val="FirstParagraph"/>
      </w:pPr>
      <w:r>
        <w:t xml:space="preserve">Bloomer et al. (2025) recorded 49 autistic adults and 94 neurotypical controls on a force platform across manipulations of visual input and stance width, using rambling–trembling decomposition to separate central supraspinal from peripheral neuromuscular contributions to sway. Autistic adults showed increased sway path and increased medio-lateral trembling (p &lt; 0.05), and group-by-vision interactions indicated the increases were more apparent in the</w:t>
      </w:r>
      <w:r>
        <w:t xml:space="preserve"> </w:t>
      </w:r>
      <w:r>
        <w:rPr>
          <w:b/>
        </w:rPr>
        <w:t xml:space="preserve">eyes-open</w:t>
      </w:r>
      <w:r>
        <w:t xml:space="preserve"> </w:t>
      </w:r>
      <w:r>
        <w:t xml:space="preserve">conditions. That last detail is the reason to include this study rather than the larger literature on sway in autistic youth.</w:t>
      </w:r>
    </w:p>
    <w:p>
      <w:pPr>
        <w:pStyle w:val="Heading3"/>
      </w:pPr>
      <w:bookmarkStart w:id="85" w:name="reduced-complexity-increased-regularity"/>
      <w:r>
        <w:t xml:space="preserve">Reduced complexity, increased regularity</w:t>
      </w:r>
      <w:bookmarkEnd w:id="85"/>
    </w:p>
    <w:p>
      <w:pPr>
        <w:pStyle w:val="FirstParagraph"/>
      </w:pPr>
      <w:r>
        <w:t xml:space="preserve">Pettinato et al. (2024) studied 22 male participants aged 10–15 (11 autistic, 11 controls) across three foot positions with eyes open, eyes closed, and during visually guided saccades, computing fractal dimension for geometric complexity and sample entropy for regularity alongside linear sway measures. The autistic group showed reduced postural stability, reduced complexity and higher regularity of center-of-pressure trajectories, most pronounced in the least stable foot positions, during visually guided saccades, and in the medial-lateral direction. Within the autistic group, greater instability correlated with lower complexity and higher regularity. And the finding most relevant here: increased regularity was associated with greater severity of restricted and repetitive behavior.</w:t>
      </w:r>
    </w:p>
    <w:p>
      <w:pPr>
        <w:pStyle w:val="BodyText"/>
      </w:pPr>
      <w:r>
        <w:t xml:space="preserve">This is a feasibility study with 11 per group and it can’t bear much weight. It’s here because it’s the only one of the four connecting a dynamical measure of postural regularity to clinical repetitive behavior, which is the correlation the model needs. Treat it as hypothesis-generating, awaiting replication in an adequately powered sample.</w:t>
      </w:r>
    </w:p>
    <w:p>
      <w:pPr>
        <w:pStyle w:val="Heading3"/>
      </w:pPr>
      <w:bookmarkStart w:id="86" w:name="X517605b535fcad78ce29a2ee00f4e643e9828f2"/>
      <w:r>
        <w:t xml:space="preserve">Force irregularity that worsens at high visual gain</w:t>
      </w:r>
      <w:bookmarkEnd w:id="86"/>
    </w:p>
    <w:p>
      <w:pPr>
        <w:pStyle w:val="FirstParagraph"/>
      </w:pPr>
      <w:r>
        <w:t xml:space="preserve">The Mosconi group at Kansas has run the most sustained program on force control in autism. Mosconi et al. (2015) examined rapid and sustained precision grip across multiple force levels and multiple visual gain levels. Autistic participants showed greater peak rate of force increase and large transient overshoots during initial contractions, plus increased sustained force variability that scaled with force level and was</w:t>
      </w:r>
      <w:r>
        <w:t xml:space="preserve"> </w:t>
      </w:r>
      <w:r>
        <w:rPr>
          <w:b/>
        </w:rPr>
        <w:t xml:space="preserve">more severe when visual gain was highly amplified or highly degraded</w:t>
      </w:r>
      <w:r>
        <w:t xml:space="preserve">. When holding a constant force, their reactive adjustments were more periodic than controls’, and they leaned more on slower feedback mechanisms.</w:t>
      </w:r>
    </w:p>
    <w:p>
      <w:pPr>
        <w:pStyle w:val="BodyText"/>
      </w:pPr>
      <w:r>
        <w:t xml:space="preserve">The surrounding work fills in the picture. Wang et al. (2015) documented abnormalities across the initial, rise, sustained and relaxation phases of precision gripping (34 autistic, 25 controls). Wang et al. (2017) found greater force variability alongside increased beta- and gamma-band modulation of the motorneuron pool (17 autistic, 14 controls). Unruh et al. (2021), across 109 autistic individuals and 101 controls aged 5–29 at three force and three gain levels, found greater force variability and reduced force entropy, with the entropy reduction more pronounced at older ages. Shafer et al. (2021), in 43 autistic and 23 control participants aged 10–20, found greater age-associated increases in force irregularity, especially at higher gain and under tendon vibration, and, unlike controls, no increase in variability under vibration. Shafer et al. (2025), in 54 autistic and 31 neurotypical participants aged 10–25, found reduced force accuracy (β = 0.41, p = .021), greater variability (β = −2.16, p = .0001) and greater regularity (β = −0.52, p = .030) at younger ages, normalizing by adolescence, plus greater force decay once visual feedback was removed.</w:t>
      </w:r>
    </w:p>
    <w:p>
      <w:pPr>
        <w:pStyle w:val="BodyText"/>
      </w:pPr>
      <w:r>
        <w:t xml:space="preserve">One correction, because the summary version of this literature gets it wrong. The</w:t>
      </w:r>
      <w:r>
        <w:t xml:space="preserve"> </w:t>
      </w:r>
      <w:r>
        <w:t xml:space="preserve">“</w:t>
      </w:r>
      <w:r>
        <w:t xml:space="preserve">worse at high gain</w:t>
      </w:r>
      <w:r>
        <w:t xml:space="preserve">”</w:t>
      </w:r>
      <w:r>
        <w:t xml:space="preserve"> </w:t>
      </w:r>
      <w:r>
        <w:t xml:space="preserve">result belongs to Mosconi et al. (2015), the primary source. Wang et al. (2017) is a motorneuron-pool study that doesn’t manipulate visual display gain. Shafer et al. (2021) supports the gain effect as an age-by-gain interaction rather than a main effect. The gain finding is real and narrower than a summary sentence suggests.</w:t>
      </w:r>
    </w:p>
    <w:p>
      <w:pPr>
        <w:pStyle w:val="Heading3"/>
      </w:pPr>
      <w:bookmarkStart w:id="87" w:name="Xdb96a43008a3e781a02db6315d2a02dc49eb2df"/>
      <w:r>
        <w:t xml:space="preserve">Why</w:t>
      </w:r>
      <w:r>
        <w:t xml:space="preserve"> </w:t>
      </w:r>
      <w:r>
        <w:t xml:space="preserve">“</w:t>
      </w:r>
      <w:r>
        <w:t xml:space="preserve">worse with more feedback</w:t>
      </w:r>
      <w:r>
        <w:t xml:space="preserve">”</w:t>
      </w:r>
      <w:r>
        <w:t xml:space="preserve"> </w:t>
      </w:r>
      <w:r>
        <w:t xml:space="preserve">is a stability result, not an overload result</w:t>
      </w:r>
      <w:bookmarkEnd w:id="87"/>
    </w:p>
    <w:p>
      <w:pPr>
        <w:pStyle w:val="FirstParagraph"/>
      </w:pPr>
      <w:r>
        <w:t xml:space="preserve">This is the load-bearing inference in the section.</w:t>
      </w:r>
    </w:p>
    <w:p>
      <w:pPr>
        <w:pStyle w:val="BodyText"/>
      </w:pPr>
      <w:r>
        <w:t xml:space="preserve">A sensory-overload account says autistic people find intense input aversive, high-gain feedback is intense, and performance degrades because the person is distressed or spending resources on coping. It predicts degradation under</w:t>
      </w:r>
      <w:r>
        <w:t xml:space="preserve"> </w:t>
      </w:r>
      <w:r>
        <w:rPr>
          <w:i/>
        </w:rPr>
        <w:t xml:space="preserve">any</w:t>
      </w:r>
      <w:r>
        <w:t xml:space="preserve"> </w:t>
      </w:r>
      <w:r>
        <w:t xml:space="preserve">intense stimulus, tracking subjective aversiveness, relieved by removing the feedback.</w:t>
      </w:r>
    </w:p>
    <w:p>
      <w:pPr>
        <w:pStyle w:val="BodyText"/>
      </w:pPr>
      <w:r>
        <w:t xml:space="preserve">A stability account predicts something different. Display gain multiplies the error signal on its way into the controller, so raising display gain raises loop gain, and raising loop gain in a system with marginal phase margin pushes it toward the oscillatory boundary. That predicts a specific shape of degradation: increased oscillation and reduced signal complexity, steeper at the high-gain end than a linear intensity account allows. Degradation with a form, not degradation scaled to intensity.</w:t>
      </w:r>
    </w:p>
    <w:p>
      <w:pPr>
        <w:pStyle w:val="BodyText"/>
      </w:pPr>
      <w:r>
        <w:t xml:space="preserve">Four observations separate them, and they lean toward stability:</w:t>
      </w:r>
    </w:p>
    <w:p>
      <w:pPr>
        <w:numPr>
          <w:ilvl w:val="0"/>
          <w:numId w:val="1001"/>
        </w:numPr>
        <w:pStyle w:val="Compact"/>
      </w:pPr>
      <w:r>
        <w:rPr>
          <w:b/>
        </w:rPr>
        <w:t xml:space="preserve">The eyes-open result.</w:t>
      </w:r>
      <w:r>
        <w:t xml:space="preserve"> </w:t>
      </w:r>
      <w:r>
        <w:t xml:space="preserve">Under overload, closing the eyes removes an input and should reduce distress, so sway should worsen with eyes closed, as it does in nearly every other population, because vision is stabilizing. Bloomer et al. (2025) found the group difference more apparent with eyes</w:t>
      </w:r>
      <w:r>
        <w:t xml:space="preserve"> </w:t>
      </w:r>
      <w:r>
        <w:rPr>
          <w:b/>
        </w:rPr>
        <w:t xml:space="preserve">open</w:t>
      </w:r>
      <w:r>
        <w:t xml:space="preserve">. Adding a feedback channel made it worse. That’s what raising loop gain does, and not what removing sensory burden does.</w:t>
      </w:r>
    </w:p>
    <w:p>
      <w:pPr>
        <w:numPr>
          <w:ilvl w:val="0"/>
          <w:numId w:val="1001"/>
        </w:numPr>
        <w:pStyle w:val="Compact"/>
      </w:pPr>
      <w:r>
        <w:rPr>
          <w:b/>
        </w:rPr>
        <w:t xml:space="preserve">The dynamic-only result.</w:t>
      </w:r>
      <w:r>
        <w:t xml:space="preserve"> </w:t>
      </w:r>
      <w:r>
        <w:t xml:space="preserve">Lidstone et al. (2020) found the deficit for moving and not static targets, with the same display in both. Intensity was constant. The demand on closed-loop tracking was not.</w:t>
      </w:r>
    </w:p>
    <w:p>
      <w:pPr>
        <w:numPr>
          <w:ilvl w:val="0"/>
          <w:numId w:val="1001"/>
        </w:numPr>
        <w:pStyle w:val="Compact"/>
      </w:pPr>
      <w:r>
        <w:rPr>
          <w:b/>
        </w:rPr>
        <w:t xml:space="preserve">The form of the degradation.</w:t>
      </w:r>
      <w:r>
        <w:t xml:space="preserve"> </w:t>
      </w:r>
      <w:r>
        <w:t xml:space="preserve">Excess power below 0.25 Hz (Lidstone et al., 2020), more periodic reactive adjustments (Mosconi et al., 2015), and reduced entropy with increased regularity (Pettinato et al., 2024; Unruh et al., 2021) all describe output becoming</w:t>
      </w:r>
      <w:r>
        <w:t xml:space="preserve"> </w:t>
      </w:r>
      <w:r>
        <w:rPr>
          <w:i/>
        </w:rPr>
        <w:t xml:space="preserve">more</w:t>
      </w:r>
      <w:r>
        <w:t xml:space="preserve"> </w:t>
      </w:r>
      <w:r>
        <w:t xml:space="preserve">rhythmically structured. Overload and distraction produce noisier output. Instability produces more structured output, because a limit cycle is highly regular.</w:t>
      </w:r>
    </w:p>
    <w:p>
      <w:pPr>
        <w:numPr>
          <w:ilvl w:val="0"/>
          <w:numId w:val="1001"/>
        </w:numPr>
        <w:pStyle w:val="Compact"/>
      </w:pPr>
      <w:r>
        <w:rPr>
          <w:b/>
        </w:rPr>
        <w:t xml:space="preserve">Degradation at both extremes.</w:t>
      </w:r>
      <w:r>
        <w:t xml:space="preserve"> </w:t>
      </w:r>
      <w:r>
        <w:t xml:space="preserve">Mosconi et al. (2015) found worse performance at highly amplified</w:t>
      </w:r>
      <w:r>
        <w:t xml:space="preserve"> </w:t>
      </w:r>
      <w:r>
        <w:rPr>
          <w:i/>
        </w:rPr>
        <w:t xml:space="preserve">and</w:t>
      </w:r>
      <w:r>
        <w:t xml:space="preserve"> </w:t>
      </w:r>
      <w:r>
        <w:t xml:space="preserve">highly degraded gain, which is a control-theoretic signature: too much loop gain destabilizes, too little leaves error uncorrected. An intensity account has no reason to predict that reducing feedback resolution also hurts.</w:t>
      </w:r>
    </w:p>
    <w:p>
      <w:pPr>
        <w:pStyle w:val="FirstParagraph"/>
      </w:pPr>
      <w:r>
        <w:t xml:space="preserve">None of this is decisive. Reduced entropy has other explanations, including reduced motor unit recruitment flexibility, and the tendon-vibration result in Shafer et al. (2021) points toward a somatosensory integration deficit that isn’t obviously a gain phenomenon. Stability is the more economical reading. Overload has not been excluded.</w:t>
      </w:r>
    </w:p>
    <w:p>
      <w:r>
        <w:pict>
          <v:rect style="width:0;height:1.5pt" o:hralign="center" o:hrstd="t" o:hr="t"/>
        </w:pict>
      </w:r>
    </w:p>
    <w:p>
      <w:pPr>
        <w:pStyle w:val="Heading2"/>
      </w:pPr>
      <w:bookmarkStart w:id="88" w:name="treatments-that-fit-the-model"/>
      <w:r>
        <w:t xml:space="preserve">5.3 Treatments that fit the model</w:t>
      </w:r>
      <w:bookmarkEnd w:id="88"/>
    </w:p>
    <w:p>
      <w:pPr>
        <w:pStyle w:val="FirstParagraph"/>
      </w:pPr>
      <w:r>
        <w:t xml:space="preserve">A treatment fitting the model is no evidence that the treatment works. A treatment working is no evidence for the model. Both errors are easy to make here, and both get made. What follows keeps the mechanistic story and the evidence grade in separate columns.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Intervention</w:t>
            </w:r>
          </w:p>
        </w:tc>
        <w:tc>
          <w:tcPr>
            <w:tcBorders>
              <w:bottom w:val="single"/>
            </w:tcBorders>
            <w:vAlign w:val="bottom"/>
          </w:tcPr>
          <w:p>
            <w:pPr>
              <w:pStyle w:val="Compact"/>
              <w:jc w:val="left"/>
            </w:pPr>
            <w:r>
              <w:t xml:space="preserve">Loop parameter it would act on</w:t>
            </w:r>
          </w:p>
        </w:tc>
        <w:tc>
          <w:tcPr>
            <w:tcBorders>
              <w:bottom w:val="single"/>
            </w:tcBorders>
            <w:vAlign w:val="bottom"/>
          </w:tcPr>
          <w:p>
            <w:pPr>
              <w:pStyle w:val="Compact"/>
              <w:jc w:val="left"/>
            </w:pPr>
            <w:r>
              <w:t xml:space="preserve">Evidence quality</w:t>
            </w:r>
          </w:p>
        </w:tc>
        <w:tc>
          <w:tcPr>
            <w:tcBorders>
              <w:bottom w:val="single"/>
            </w:tcBorders>
            <w:vAlign w:val="bottom"/>
          </w:tcPr>
          <w:p>
            <w:pPr>
              <w:pStyle w:val="Compact"/>
              <w:jc w:val="left"/>
            </w:pPr>
            <w:r>
              <w:t xml:space="preserve">Direction of findings</w:t>
            </w:r>
          </w:p>
        </w:tc>
      </w:tr>
      <w:tr>
        <w:tc>
          <w:p>
            <w:pPr>
              <w:pStyle w:val="Compact"/>
              <w:jc w:val="left"/>
            </w:pPr>
            <w:r>
              <w:t xml:space="preserve">Environmental predictability, routine, advance notice, visual schedules</w:t>
            </w:r>
          </w:p>
        </w:tc>
        <w:tc>
          <w:p>
            <w:pPr>
              <w:pStyle w:val="Compact"/>
              <w:jc w:val="left"/>
            </w:pPr>
            <w:r>
              <w:t xml:space="preserve">Reduces disturbance input; strengthens priors, lowering effective observer gain</w:t>
            </w:r>
          </w:p>
        </w:tc>
        <w:tc>
          <w:p>
            <w:pPr>
              <w:pStyle w:val="Compact"/>
              <w:jc w:val="left"/>
            </w:pPr>
            <w:r>
              <w:t xml:space="preserve">Weak; largely practice wisdom and single-case designs</w:t>
            </w:r>
          </w:p>
        </w:tc>
        <w:tc>
          <w:p>
            <w:pPr>
              <w:pStyle w:val="Compact"/>
              <w:jc w:val="left"/>
            </w:pPr>
            <w:r>
              <w:t xml:space="preserve">Meta-analysis of transition-signaling found overall effects not significant (Kim et al., 2026); TEACCH meta-analyses positive but methodologically limited</w:t>
            </w:r>
          </w:p>
        </w:tc>
      </w:tr>
      <w:tr>
        <w:tc>
          <w:p>
            <w:pPr>
              <w:pStyle w:val="Compact"/>
              <w:jc w:val="left"/>
            </w:pPr>
            <w:r>
              <w:t xml:space="preserve">Sensory integration / OT sensory approaches</w:t>
            </w:r>
          </w:p>
        </w:tc>
        <w:tc>
          <w:p>
            <w:pPr>
              <w:pStyle w:val="Compact"/>
              <w:jc w:val="left"/>
            </w:pPr>
            <w:r>
              <w:t xml:space="preserve">Observer gain</w:t>
            </w:r>
          </w:p>
        </w:tc>
        <w:tc>
          <w:p>
            <w:pPr>
              <w:pStyle w:val="Compact"/>
              <w:jc w:val="left"/>
            </w:pPr>
            <w:r>
              <w:t xml:space="preserve">Low strength of evidence; better designs weaken results</w:t>
            </w:r>
          </w:p>
        </w:tc>
        <w:tc>
          <w:p>
            <w:pPr>
              <w:pStyle w:val="Compact"/>
              <w:jc w:val="left"/>
            </w:pPr>
            <w:r>
              <w:t xml:space="preserve">Weitlauf et al. (2017) low SOE; Leong et al. (2015) higher-quality studies produce negative results; Schaaf et al. (2025) equal to ABA, neither superior to no treatment on standardized daily-living measure</w:t>
            </w:r>
          </w:p>
        </w:tc>
      </w:tr>
      <w:tr>
        <w:tc>
          <w:p>
            <w:pPr>
              <w:pStyle w:val="Compact"/>
              <w:jc w:val="left"/>
            </w:pPr>
            <w:r>
              <w:t xml:space="preserve">Deep pressure, weighted blankets, proprioceptive input</w:t>
            </w:r>
          </w:p>
        </w:tc>
        <w:tc>
          <w:p>
            <w:pPr>
              <w:pStyle w:val="Compact"/>
              <w:jc w:val="left"/>
            </w:pPr>
            <w:r>
              <w:t xml:space="preserve">Adds a stable, high-precision reference channel</w:t>
            </w:r>
          </w:p>
        </w:tc>
        <w:tc>
          <w:p>
            <w:pPr>
              <w:pStyle w:val="Compact"/>
              <w:jc w:val="left"/>
            </w:pPr>
            <w:r>
              <w:t xml:space="preserve">RCT evidence null on objective outcomes</w:t>
            </w:r>
          </w:p>
        </w:tc>
        <w:tc>
          <w:p>
            <w:pPr>
              <w:pStyle w:val="Compact"/>
              <w:jc w:val="left"/>
            </w:pPr>
            <w:r>
              <w:t xml:space="preserve">Gringras et al. (2014) no effect on any objective sleep measure; preferred subjectively</w:t>
            </w:r>
          </w:p>
        </w:tc>
      </w:tr>
      <w:tr>
        <w:tc>
          <w:p>
            <w:pPr>
              <w:pStyle w:val="Compact"/>
              <w:jc w:val="left"/>
            </w:pPr>
            <w:r>
              <w:t xml:space="preserve">Exercise</w:t>
            </w:r>
          </w:p>
        </w:tc>
        <w:tc>
          <w:p>
            <w:pPr>
              <w:pStyle w:val="Compact"/>
              <w:jc w:val="left"/>
            </w:pPr>
            <w:r>
              <w:t xml:space="preserve">Discharges accumulated error; may raise damping via fatigue and altered arousal</w:t>
            </w:r>
          </w:p>
        </w:tc>
        <w:tc>
          <w:p>
            <w:pPr>
              <w:pStyle w:val="Compact"/>
              <w:jc w:val="left"/>
            </w:pPr>
            <w:r>
              <w:t xml:space="preserve">Moderate quantity, weak quality; heterogeneous</w:t>
            </w:r>
          </w:p>
        </w:tc>
        <w:tc>
          <w:p>
            <w:pPr>
              <w:pStyle w:val="Compact"/>
              <w:jc w:val="left"/>
            </w:pPr>
            <w:r>
              <w:t xml:space="preserve">Structured exercise ranks well for irritability (SMD −1.48) but below pharmacological options for stereotypy (Liu et al., 2026)</w:t>
            </w:r>
          </w:p>
        </w:tc>
      </w:tr>
      <w:tr>
        <w:tc>
          <w:p>
            <w:pPr>
              <w:pStyle w:val="Compact"/>
              <w:jc w:val="left"/>
            </w:pPr>
            <w:r>
              <w:t xml:space="preserve">SSRIs for repetitive behavior</w:t>
            </w:r>
          </w:p>
        </w:tc>
        <w:tc>
          <w:p>
            <w:pPr>
              <w:pStyle w:val="Compact"/>
              <w:jc w:val="left"/>
            </w:pPr>
            <w:r>
              <w:t xml:space="preserve">Would have to lower controller gain</w:t>
            </w:r>
          </w:p>
        </w:tc>
        <w:tc>
          <w:p>
            <w:pPr>
              <w:pStyle w:val="Compact"/>
              <w:jc w:val="left"/>
            </w:pPr>
            <w:r>
              <w:t xml:space="preserve">Good quality; negative</w:t>
            </w:r>
          </w:p>
        </w:tc>
        <w:tc>
          <w:p>
            <w:pPr>
              <w:pStyle w:val="Compact"/>
              <w:jc w:val="left"/>
            </w:pPr>
            <w:r>
              <w:t xml:space="preserve">King et al. (2009) null; Williams et al. (2013) no evidence of effect in children plus emerging harm; Trinari et al. (2026) very uncertain evidence</w:t>
            </w:r>
          </w:p>
        </w:tc>
      </w:tr>
      <w:tr>
        <w:tc>
          <w:p>
            <w:pPr>
              <w:pStyle w:val="Compact"/>
              <w:jc w:val="left"/>
            </w:pPr>
            <w:r>
              <w:t xml:space="preserve">Melatonin / sleep</w:t>
            </w:r>
          </w:p>
        </w:tc>
        <w:tc>
          <w:p>
            <w:pPr>
              <w:pStyle w:val="Compact"/>
              <w:jc w:val="left"/>
            </w:pPr>
            <w:r>
              <w:t xml:space="preserve">Sleep loss degrades prediction and raises gain</w:t>
            </w:r>
          </w:p>
        </w:tc>
        <w:tc>
          <w:p>
            <w:pPr>
              <w:pStyle w:val="Compact"/>
              <w:jc w:val="left"/>
            </w:pPr>
            <w:r>
              <w:t xml:space="preserve">Good for sleep outcomes</w:t>
            </w:r>
          </w:p>
        </w:tc>
        <w:tc>
          <w:p>
            <w:pPr>
              <w:pStyle w:val="Compact"/>
              <w:jc w:val="left"/>
            </w:pPr>
            <w:r>
              <w:t xml:space="preserve">Rossignol &amp; Frye (2011) +44 min duration and −39 min latency vs placebo; no effect on night waking</w:t>
            </w:r>
          </w:p>
        </w:tc>
      </w:tr>
      <w:tr>
        <w:tc>
          <w:p>
            <w:pPr>
              <w:pStyle w:val="Compact"/>
              <w:jc w:val="left"/>
            </w:pPr>
            <w:r>
              <w:t xml:space="preserve">Structured social skills vs NDBI</w:t>
            </w:r>
          </w:p>
        </w:tc>
        <w:tc>
          <w:p>
            <w:pPr>
              <w:pStyle w:val="Compact"/>
              <w:jc w:val="left"/>
            </w:pPr>
            <w:r>
              <w:t xml:space="preserve">Reduces prediction error in the social channel</w:t>
            </w:r>
          </w:p>
        </w:tc>
        <w:tc>
          <w:p>
            <w:pPr>
              <w:pStyle w:val="Compact"/>
              <w:jc w:val="left"/>
            </w:pPr>
            <w:r>
              <w:t xml:space="preserve">Weak once bias controls applied</w:t>
            </w:r>
          </w:p>
        </w:tc>
        <w:tc>
          <w:p>
            <w:pPr>
              <w:pStyle w:val="Compact"/>
              <w:jc w:val="left"/>
            </w:pPr>
            <w:r>
              <w:t xml:space="preserve">Sandbank et al. (2020): with RCTs only and detection bias excluded, no intervention type showed significant effects on any outcome</w:t>
            </w:r>
          </w:p>
        </w:tc>
      </w:tr>
      <w:tr>
        <w:tc>
          <w:p>
            <w:pPr>
              <w:pStyle w:val="Compact"/>
              <w:jc w:val="left"/>
            </w:pPr>
            <w:r>
              <w:t xml:space="preserve">AAC</w:t>
            </w:r>
          </w:p>
        </w:tc>
        <w:tc>
          <w:p>
            <w:pPr>
              <w:pStyle w:val="Compact"/>
              <w:jc w:val="left"/>
            </w:pPr>
            <w:r>
              <w:t xml:space="preserve">Removes the error the loop is trying to correct</w:t>
            </w:r>
          </w:p>
        </w:tc>
        <w:tc>
          <w:p>
            <w:pPr>
              <w:pStyle w:val="Compact"/>
              <w:jc w:val="left"/>
            </w:pPr>
            <w:r>
              <w:t xml:space="preserve">Moderate for requesting; thin elsewhere</w:t>
            </w:r>
          </w:p>
        </w:tc>
        <w:tc>
          <w:p>
            <w:pPr>
              <w:pStyle w:val="Compact"/>
              <w:jc w:val="left"/>
            </w:pPr>
            <w:r>
              <w:t xml:space="preserve">Huang et al. (2026) PECS SMD 0.95 in Chinese RCTs; Mifsud et al. (2026) 69 papers still dominated by requesting outcomes</w:t>
            </w:r>
          </w:p>
        </w:tc>
      </w:tr>
    </w:tbl>
    <w:p>
      <w:pPr>
        <w:pStyle w:val="Heading3"/>
      </w:pPr>
      <w:bookmarkStart w:id="89" w:name="Xc7eac2383255d960dfeef1b5ae282d01654ee95"/>
      <w:r>
        <w:t xml:space="preserve">Environmental predictability, routine, advance notice, visual schedules</w:t>
      </w:r>
      <w:bookmarkEnd w:id="89"/>
    </w:p>
    <w:p>
      <w:pPr>
        <w:pStyle w:val="FirstParagraph"/>
      </w:pPr>
      <w:r>
        <w:t xml:space="preserve">Mechanistically this is the intervention the model most wants to endorse. Predictable environments reduce the disturbance input and allow priors to be held with higher precision, which lowers the weight given to each new sensory sample. A system that oscillates after disturbances should benefit from fewer disturbances.</w:t>
      </w:r>
    </w:p>
    <w:p>
      <w:pPr>
        <w:pStyle w:val="BodyText"/>
      </w:pPr>
      <w:r>
        <w:t xml:space="preserve">The evidence base is thinner than clinical confidence in it. Most of what supports visual schedules and advance notice is single-case design work plus practice guidance.</w:t>
      </w:r>
    </w:p>
    <w:p>
      <w:pPr>
        <w:pStyle w:val="BodyText"/>
      </w:pPr>
      <w:r>
        <w:t xml:space="preserve">Kim et al. (2026) ran a targeted synthesis and multilevel meta-analysis of 19 experiments across 16 articles on transition-related challenging behavior, comparing interventions using a signaling stimulus (advance notice, visual schedules) against other procedures. Overall effects were not statistically significant, and consequence-based interventions</w:t>
      </w:r>
      <w:r>
        <w:t xml:space="preserve"> </w:t>
      </w:r>
      <w:r>
        <w:rPr>
          <w:i/>
        </w:rPr>
        <w:t xml:space="preserve">without</w:t>
      </w:r>
      <w:r>
        <w:t xml:space="preserve"> </w:t>
      </w:r>
      <w:r>
        <w:t xml:space="preserve">signaling stimuli were associated with greater reductions. That cuts against the mechanistic story told here, and it should be reported to families that way. TEACCH, the most structured version of predictability, has meta-analytic support for adaptive skills (Li et al., 2025), but Sandbank et al. (2020) found no significant summary effect for it, and the newer meta-analyses include non-randomized designs.</w:t>
      </w:r>
    </w:p>
    <w:p>
      <w:pPr>
        <w:pStyle w:val="BodyText"/>
      </w:pPr>
      <w:r>
        <w:t xml:space="preserve">The defensible position. Predictability is low-cost, low-risk, consistent with what autistic people report wanting, and supported by convergent practice experience rather than trial evidence. DO recommend it on those grounds. DON’T claim a trial base that doesn’t exist.</w:t>
      </w:r>
    </w:p>
    <w:p>
      <w:pPr>
        <w:pStyle w:val="Heading3"/>
      </w:pPr>
      <w:bookmarkStart w:id="90" w:name="Xdaadde567dec88cb6b3e1520a5594dac07e9191"/>
      <w:r>
        <w:t xml:space="preserve">Occupational therapy and sensory approaches</w:t>
      </w:r>
      <w:bookmarkEnd w:id="90"/>
    </w:p>
    <w:p>
      <w:pPr>
        <w:pStyle w:val="FirstParagraph"/>
      </w:pPr>
      <w:r>
        <w:t xml:space="preserve">Weitlauf et al. (2017) reviewed 24 studies including 20 RCTs. Only three had low risk of bias. Sensory integration approaches improved sensory and motor measures at low strength of evidence. Environmental enrichment improved non-verbal cognitive skills at low strength of evidence. Auditory integration approaches did not improve language. Music therapy protocols were too heterogeneous to synthesize.</w:t>
      </w:r>
    </w:p>
    <w:p>
      <w:pPr>
        <w:pStyle w:val="BodyText"/>
      </w:pPr>
      <w:r>
        <w:t xml:space="preserve">Leong, Carter and Stephenson (2015) reviewed 17 single-case design studies of sensory integration therapy and found the pattern that matters. Most used weak designs and poor methodology, and the higher-quality studies tended to produce negative results. When study quality and positive findings run in opposite directions, the literature is telling you something. Where comparison was possible, functional analysis-based interventions outperformed sensory integration therapy. The authors concluded its use should be limited to experimental contexts.</w:t>
      </w:r>
    </w:p>
    <w:p>
      <w:pPr>
        <w:pStyle w:val="BodyText"/>
      </w:pPr>
      <w:r>
        <w:t xml:space="preserve">Schaaf et al. (2025) is the most informative recent trial: three arms (OT using Ayres Sensory Integration, ABA, no treatment), 30 one-hour sessions per treatment arm. Both treatment arms produced significant gains on Goal Attainment Scaling over no treatment. Both improved on the Pediatric Evaluation of Disability Inventory, and neither improvement over no treatment reached significance. The two were comparable. Both moved individualized, therapist-set goals. Neither clearly moved a standardized functional measure.</w:t>
      </w:r>
    </w:p>
    <w:p>
      <w:pPr>
        <w:pStyle w:val="BodyText"/>
      </w:pPr>
      <w:r>
        <w:t xml:space="preserve">For the model that’s uncomfortable and not fatal. If observer gain is real and sensory approaches target it, they should work better than this. Either they aren’t targeting it, or the parameter is less modifiable than the model implies, or the outcome measures can’t see loop dynamics.</w:t>
      </w:r>
    </w:p>
    <w:p>
      <w:pPr>
        <w:pStyle w:val="Heading3"/>
      </w:pPr>
      <w:bookmarkStart w:id="91" w:name="X0e6271abc50872ae7f41cacf941a3498ea72716"/>
      <w:r>
        <w:t xml:space="preserve">Deep pressure, weighted blankets, proprioceptive input</w:t>
      </w:r>
      <w:bookmarkEnd w:id="91"/>
    </w:p>
    <w:p>
      <w:pPr>
        <w:pStyle w:val="FirstParagraph"/>
      </w:pPr>
      <w:r>
        <w:t xml:space="preserve">The mechanistic story is appealing. Sustained proprioceptive input provides a high-precision, low-variability reference signal that should stabilize an observer otherwise driven by noisy channels.</w:t>
      </w:r>
    </w:p>
    <w:p>
      <w:pPr>
        <w:pStyle w:val="BodyText"/>
      </w:pPr>
      <w:r>
        <w:t xml:space="preserve">Gringras et al. (2014) ran the trial that tests it: a phase III randomized placebo-controlled crossover study in 73 children aged 5 to 16 years 10 months with confirmed autism and severe, treatment-refractory sleep problems, 67 of whom completed. Each used a weighted blanket and an identical-appearing usual-weight control blanket for two weeks each. The weighted blanket did not increase total sleep time on actigraphy after baseline adjustment, and there were no group differences on any other objective or subjective sleep measure or on behavioral outcomes. Children and parents preferred it on subjective preference measures.</w:t>
      </w:r>
    </w:p>
    <w:p>
      <w:pPr>
        <w:pStyle w:val="BodyText"/>
      </w:pPr>
      <w:r>
        <w:t xml:space="preserve">A null result on a well-designed trial with an adequate control. The preference finding is real, and it’s a legitimate reason to permit a weighted blanket. It is NOT a reason to present the blanket as effective. Deep pressure more broadly falls under Weitlauf et al. (2017), where massage showed improvement at low strength of evidence in studies with likely overlapping participants.</w:t>
      </w:r>
    </w:p>
    <w:p>
      <w:pPr>
        <w:pStyle w:val="Heading3"/>
      </w:pPr>
      <w:bookmarkStart w:id="92" w:name="exercise-for-repetitive-behavior"/>
      <w:r>
        <w:t xml:space="preserve">Exercise for repetitive behavior</w:t>
      </w:r>
      <w:bookmarkEnd w:id="92"/>
    </w:p>
    <w:p>
      <w:pPr>
        <w:pStyle w:val="FirstParagraph"/>
      </w:pPr>
      <w:r>
        <w:t xml:space="preserve">There’s a real literature here, and it’s old. Sowa and Meulenbroek (2012) published the first meta-analysis of physical exercise effects in autism. The bibliographic record verifies, but the abstract isn’t retrievable through open indices, so its effect sizes aren’t reported here.</w:t>
      </w:r>
    </w:p>
    <w:p>
      <w:pPr>
        <w:pStyle w:val="BodyText"/>
      </w:pPr>
      <w:r>
        <w:t xml:space="preserve">The best-verified current estimate is Liu et al. (2026), a frequentist network meta-analysis of 67 RCTs (N = 4,203). Structured exercise ranked highest for irritability (SUCRA = 88.0%; SMD = −1.48, 95% CI [−2.24, −0.73]) and second for hyperactivity (SUCRA = 76.1%). On</w:t>
      </w:r>
      <w:r>
        <w:t xml:space="preserve"> </w:t>
      </w:r>
      <w:r>
        <w:rPr>
          <w:b/>
        </w:rPr>
        <w:t xml:space="preserve">stereotypic behavior</w:t>
      </w:r>
      <w:r>
        <w:t xml:space="preserve">, the outcome that matters here, pharmacological treatments dominated, with antipsychotic and ADHD medications ranking highest (SUCRA = 92.0%; SMD = −1.10, 95% CI [−1.67, −0.53]). Exercise did not lead on the repetitive-behavior outcome. Cai et al. (2025) found small but significant effects on social communication (MD 1.42, 95% CI [0.21, 2.63]) and social cognition (MD 1.99, 95% CI [0.18, 3.80]) across 14 studies. Li et al. (2026) found an effect on inhibitory control (SMD −0.49) across 8 studies. The literature runs on small, short trials, many from a single national research base, with heterogeneous outcomes.</w:t>
      </w:r>
    </w:p>
    <w:p>
      <w:pPr>
        <w:pStyle w:val="BodyText"/>
      </w:pPr>
      <w:r>
        <w:t xml:space="preserve">Under the model, exercise is interesting for a reason that has nothing to do with those effect sizes. It’s one of the few interventions plausibly acting on the</w:t>
      </w:r>
      <w:r>
        <w:t xml:space="preserve"> </w:t>
      </w:r>
      <w:r>
        <w:rPr>
          <w:i/>
        </w:rPr>
        <w:t xml:space="preserve">controller</w:t>
      </w:r>
      <w:r>
        <w:t xml:space="preserve"> </w:t>
      </w:r>
      <w:r>
        <w:t xml:space="preserve">rather than the observer, discharging accumulated error through movement and altering the arousal state the loop runs in. Untested, because no exercise trial in autism has measured loop dynamics.</w:t>
      </w:r>
    </w:p>
    <w:p>
      <w:pPr>
        <w:pStyle w:val="Heading3"/>
      </w:pPr>
      <w:bookmarkStart w:id="93" w:name="ssris-for-repetitive-behavior"/>
      <w:r>
        <w:t xml:space="preserve">SSRIs for repetitive behavior</w:t>
      </w:r>
      <w:bookmarkEnd w:id="93"/>
    </w:p>
    <w:p>
      <w:pPr>
        <w:pStyle w:val="FirstParagraph"/>
      </w:pPr>
      <w:r>
        <w:t xml:space="preserve">The cleanest negative result in the section, and it matters, because reduction in restricted and repetitive behavior is the outcome the model most directly implicates.</w:t>
      </w:r>
    </w:p>
    <w:p>
      <w:pPr>
        <w:pStyle w:val="BodyText"/>
      </w:pPr>
      <w:r>
        <w:t xml:space="preserve">King et al. (2009) randomized 149 children aged 5–17 with at least moderate compulsive behavior to 12 weeks of citalopram (n = 73, mean maximum dose 16.5 mg/d) or placebo (n = 76). Positive response on the Clinical Global Impressions Improvement subscale: 32.9% on citalopram versus 34.2% on placebo (RR 0.96, 95% CI [0.61, 1.51], p &gt; .99). Change on the Children’s Yale-Brown Obsessive Compulsive Scales modified for pervasive developmental disorders: −2.0 (SD 3.4) versus −1.9 (SD 2.5), p = .81. Citalopram was significantly more likely to produce adverse events, including increased energy, impulsiveness, decreased concentration, hyperactivity,</w:t>
      </w:r>
      <w:r>
        <w:t xml:space="preserve"> </w:t>
      </w:r>
      <w:r>
        <w:rPr>
          <w:b/>
        </w:rPr>
        <w:t xml:space="preserve">increased stereotypy</w:t>
      </w:r>
      <w:r>
        <w:t xml:space="preserve">, diarrhea, insomnia and skin effects.</w:t>
      </w:r>
    </w:p>
    <w:p>
      <w:pPr>
        <w:pStyle w:val="BodyText"/>
      </w:pPr>
      <w:r>
        <w:t xml:space="preserve">Stay on that adverse-event profile a moment. The drug did not reduce repetitive behavior and was associated with more stereotypy, which is what a loop model predicts from an agent that raises arousal and drive without adding damping.</w:t>
      </w:r>
    </w:p>
    <w:p>
      <w:pPr>
        <w:pStyle w:val="BodyText"/>
      </w:pPr>
      <w:r>
        <w:t xml:space="preserve">Williams et al. (2013), the Cochrane review, included nine RCTs with 320 participants across fluoxetine, fluvoxamine, fenfluramine and citalopram; outcome heterogeneity prevented meta-analysis for all but one outcome. Their conclusion: no evidence of effect in children and emerging evidence of harm, with limited adult evidence from small studies of unclear bias risk. Trinari et al. (2026), reviewing seven RCTs with 606 participants under GRADE, found the evidence very uncertain for restricted repetitive behaviors and anxiety, low certainty of little to no effect on obsessive-compulsive and disruptive behaviors, moderate certainty of no difference in global functioning, and a slight increase in adverse events.</w:t>
      </w:r>
    </w:p>
    <w:p>
      <w:pPr>
        <w:pStyle w:val="BodyText"/>
      </w:pPr>
      <w:r>
        <w:t xml:space="preserve">Three independent syntheses converge. SSRIs do not reduce repetitive behavior in autistic children.</w:t>
      </w:r>
    </w:p>
    <w:p>
      <w:pPr>
        <w:pStyle w:val="Heading3"/>
      </w:pPr>
      <w:bookmarkStart w:id="94" w:name="melatonin-and-sleep"/>
      <w:r>
        <w:t xml:space="preserve">Melatonin and sleep</w:t>
      </w:r>
      <w:bookmarkEnd w:id="94"/>
    </w:p>
    <w:p>
      <w:pPr>
        <w:pStyle w:val="FirstParagraph"/>
      </w:pPr>
      <w:r>
        <w:t xml:space="preserve">Rossignol and Frye (2011) meta-analyzed five randomized double-blind placebo-controlled studies. Against placebo, melatonin increased sleep duration by 44 minutes (Hedges’ g = 1.07, 95% CI [0.49, 1.65]) and reduced sleep onset latency by 39 minutes (Hedges’ g = −2.46, 95% CI [−1.96, −2.98]). Night-time awakenings did not improve, side effects were minimal, and effect size varied significantly across studies with small samples and variable protocols, though funnel plots did not indicate publication bias.</w:t>
      </w:r>
    </w:p>
    <w:p>
      <w:pPr>
        <w:pStyle w:val="BodyText"/>
      </w:pPr>
      <w:r>
        <w:t xml:space="preserve">Sleep matters here structurally, not as general wellbeing. Deprivation degrades the internal model, and a system with poor predictions has to lean harder on incoming evidence. That’s raised observer gain. It also reduces damping, because a fatigued system corrects less smoothly. The model therefore predicts that sleep loss produces a</w:t>
      </w:r>
      <w:r>
        <w:t xml:space="preserve"> </w:t>
      </w:r>
      <w:r>
        <w:rPr>
          <w:i/>
        </w:rPr>
        <w:t xml:space="preserve">specific</w:t>
      </w:r>
      <w:r>
        <w:t xml:space="preserve"> </w:t>
      </w:r>
      <w:r>
        <w:t xml:space="preserve">worsening (more repetitive behavior, more sensory reactivity, faster escalation) rather than a uniform decline. Testable, and untested in this form.</w:t>
      </w:r>
    </w:p>
    <w:p>
      <w:pPr>
        <w:pStyle w:val="Heading3"/>
      </w:pPr>
      <w:bookmarkStart w:id="95" w:name="Xfd771abdf5ccb753687911b11f54c9db13914b2"/>
      <w:r>
        <w:t xml:space="preserve">Structured social skills approaches versus NDBI</w:t>
      </w:r>
      <w:bookmarkEnd w:id="95"/>
    </w:p>
    <w:p>
      <w:pPr>
        <w:pStyle w:val="FirstParagraph"/>
      </w:pPr>
      <w:r>
        <w:t xml:space="preserve">The two approaches make opposite bets. Structured social skills teaching reduces uncertainty in the social channel: fewer surprises, explicit rules, lower prediction error. Naturalistic developmental behavioral interventions work deliberately in less structured, child-led contexts, accepting higher moment-to-moment uncertainty in exchange for generalization.</w:t>
      </w:r>
    </w:p>
    <w:p>
      <w:pPr>
        <w:pStyle w:val="BodyText"/>
      </w:pPr>
      <w:r>
        <w:t xml:space="preserve">Sandbank et al. (2020) is the reference point. Project AIM synthesized 1,615 effect sizes from 130 independent samples representing 6,240 children aged 0–8 across seven intervention types and fifteen outcome categories. Ignoring study quality, behavioral, developmental and NDBI types showed significant positive effects. Restricting to RCTs, only developmental and NDBI survived, and the same held when parent-report outcomes were excluded.</w:t>
      </w:r>
      <w:r>
        <w:t xml:space="preserve"> </w:t>
      </w:r>
      <w:r>
        <w:rPr>
          <w:b/>
        </w:rPr>
        <w:t xml:space="preserve">Restricting to RCTs and to outcomes with no risk of detection bias, no intervention type showed significant effects on any outcome.</w:t>
      </w:r>
    </w:p>
    <w:p>
      <w:pPr>
        <w:pStyle w:val="BodyText"/>
      </w:pPr>
      <w:r>
        <w:t xml:space="preserve">Crank et al. (2021) examined the 27 NDBI studies specifically, extracting 454 effect sizes. Effects on social communication, language, play and cognitive outcomes were documented, but confidence was limited by methodological concerns, and effects were larger for context-bound than generalized outcomes and for proximal than distal ones. Interventions produced more change close to what was trained than far from it.</w:t>
      </w:r>
    </w:p>
    <w:p>
      <w:pPr>
        <w:pStyle w:val="BodyText"/>
      </w:pPr>
      <w:r>
        <w:t xml:space="preserve">The honest reading. The structured-versus-naturalistic contrast has not been tested in a way that would discriminate between them, and the field’s effect estimates don’t survive bias controls.</w:t>
      </w:r>
    </w:p>
    <w:p>
      <w:pPr>
        <w:pStyle w:val="Heading3"/>
      </w:pPr>
      <w:bookmarkStart w:id="96" w:name="communication-access"/>
      <w:r>
        <w:t xml:space="preserve">Communication access</w:t>
      </w:r>
      <w:bookmarkEnd w:id="96"/>
    </w:p>
    <w:p>
      <w:pPr>
        <w:pStyle w:val="FirstParagraph"/>
      </w:pPr>
      <w:r>
        <w:t xml:space="preserve">AAC occupies a different place in the model. Every other intervention adjusts a parameter. AAC removes the disturbance. A person who can’t make a need understood generates continuous, unresolvable error, because the loop keeps correcting and the controlled variable never reaches the set point. A working channel doesn’t tune the loop. It lets the loop close.</w:t>
      </w:r>
    </w:p>
    <w:p>
      <w:pPr>
        <w:pStyle w:val="BodyText"/>
      </w:pPr>
      <w:r>
        <w:t xml:space="preserve">Huang et al. (2026) meta-analyzed 37 RCTs of the Picture Exchange Communication System for autistic children in mainland China (34 in the meta-analysis, n = 2,343), reporting a large overall effect on communication (SMD = 0.95, 95% CI [0.76, 1.13]). The single-country evidence base is a real limitation. Mifsud et al. (2026) reviewed 69 AAC papers across autistic adults and children and found the field still overwhelmingly focused on teaching requesting, with much less on wellbeing, social interaction and quality of life.</w:t>
      </w:r>
    </w:p>
    <w:p>
      <w:pPr>
        <w:pStyle w:val="BodyText"/>
      </w:pPr>
      <w:r>
        <w:t xml:space="preserve">The model’s prediction here is specific and, as far as this review found, untested. If unresolvable communicative error drives the loop, successful AAC uptake should reduce repetitive behavior and distress episodes, not only increase requesting. The AAC literature doesn’t report that outcome.</w:t>
      </w:r>
    </w:p>
    <w:p>
      <w:r>
        <w:pict>
          <v:rect style="width:0;height:1.5pt" o:hralign="center" o:hrstd="t" o:hr="t"/>
        </w:pict>
      </w:r>
    </w:p>
    <w:p>
      <w:pPr>
        <w:pStyle w:val="Heading2"/>
      </w:pPr>
      <w:bookmarkStart w:id="97" w:name="what-would-refute-the-model"/>
      <w:r>
        <w:t xml:space="preserve">5.4 What would refute the model</w:t>
      </w:r>
      <w:bookmarkEnd w:id="97"/>
    </w:p>
    <w:p>
      <w:pPr>
        <w:pStyle w:val="FirstParagraph"/>
      </w:pPr>
      <w:r>
        <w:t xml:space="preserve">A model that survives every result isn’t a model. It’s a story with equations attached.</w:t>
      </w:r>
    </w:p>
    <w:p>
      <w:pPr>
        <w:pStyle w:val="BodyText"/>
      </w:pPr>
      <w:r>
        <w:t xml:space="preserve">What follows is a test specification. Each entry names the measurement, the predicted outcome, and the result that would falsify or seriously damage the account, written so a reader can check it against future data without consulting the authors. Write the acceptance criteria before you build the article, because criteria written after the test ALWAYS pass.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Test</w:t>
            </w:r>
          </w:p>
        </w:tc>
        <w:tc>
          <w:tcPr>
            <w:tcBorders>
              <w:bottom w:val="single"/>
            </w:tcBorders>
            <w:vAlign w:val="bottom"/>
          </w:tcPr>
          <w:p>
            <w:pPr>
              <w:pStyle w:val="Compact"/>
              <w:jc w:val="left"/>
            </w:pPr>
            <w:r>
              <w:t xml:space="preserve">Refuting result</w:t>
            </w:r>
          </w:p>
        </w:tc>
      </w:tr>
      <w:tr>
        <w:tc>
          <w:p>
            <w:pPr>
              <w:pStyle w:val="Compact"/>
              <w:jc w:val="left"/>
            </w:pPr>
            <w:r>
              <w:t xml:space="preserve">1</w:t>
            </w:r>
          </w:p>
        </w:tc>
        <w:tc>
          <w:p>
            <w:pPr>
              <w:pStyle w:val="Compact"/>
              <w:jc w:val="left"/>
            </w:pPr>
            <w:r>
              <w:t xml:space="preserve">Sensory reduction versus predictability increase, head to head</w:t>
            </w:r>
          </w:p>
        </w:tc>
        <w:tc>
          <w:p>
            <w:pPr>
              <w:pStyle w:val="Compact"/>
              <w:jc w:val="left"/>
            </w:pPr>
            <w:r>
              <w:t xml:space="preserve">Sensory reduction reliably outperforms predictability at matched dose</w:t>
            </w:r>
          </w:p>
        </w:tc>
      </w:tr>
      <w:tr>
        <w:tc>
          <w:p>
            <w:pPr>
              <w:pStyle w:val="Compact"/>
              <w:jc w:val="left"/>
            </w:pPr>
            <w:r>
              <w:t xml:space="preserve">2</w:t>
            </w:r>
          </w:p>
        </w:tc>
        <w:tc>
          <w:p>
            <w:pPr>
              <w:pStyle w:val="Compact"/>
              <w:jc w:val="left"/>
            </w:pPr>
            <w:r>
              <w:t xml:space="preserve">Damping manipulation</w:t>
            </w:r>
          </w:p>
        </w:tc>
        <w:tc>
          <w:p>
            <w:pPr>
              <w:pStyle w:val="Compact"/>
              <w:jc w:val="left"/>
            </w:pPr>
            <w:r>
              <w:t xml:space="preserve">Introduced lag or smoothed feedback fails to help while sensory reduction succeeds</w:t>
            </w:r>
          </w:p>
        </w:tc>
      </w:tr>
      <w:tr>
        <w:tc>
          <w:p>
            <w:pPr>
              <w:pStyle w:val="Compact"/>
              <w:jc w:val="left"/>
            </w:pPr>
            <w:r>
              <w:t xml:space="preserve">3</w:t>
            </w:r>
          </w:p>
        </w:tc>
        <w:tc>
          <w:p>
            <w:pPr>
              <w:pStyle w:val="Compact"/>
              <w:jc w:val="left"/>
            </w:pPr>
            <w:r>
              <w:t xml:space="preserve">Frequency structure of repetitive behavior</w:t>
            </w:r>
          </w:p>
        </w:tc>
        <w:tc>
          <w:p>
            <w:pPr>
              <w:pStyle w:val="Compact"/>
              <w:jc w:val="left"/>
            </w:pPr>
            <w:r>
              <w:t xml:space="preserve">No characteristic frequency; no within-person relation to motor oscillation</w:t>
            </w:r>
          </w:p>
        </w:tc>
      </w:tr>
      <w:tr>
        <w:tc>
          <w:p>
            <w:pPr>
              <w:pStyle w:val="Compact"/>
              <w:jc w:val="left"/>
            </w:pPr>
            <w:r>
              <w:t xml:space="preserve">4</w:t>
            </w:r>
          </w:p>
        </w:tc>
        <w:tc>
          <w:p>
            <w:pPr>
              <w:pStyle w:val="Compact"/>
              <w:jc w:val="left"/>
            </w:pPr>
            <w:r>
              <w:t xml:space="preserve">Experimental gain elevation</w:t>
            </w:r>
          </w:p>
        </w:tc>
        <w:tc>
          <w:p>
            <w:pPr>
              <w:pStyle w:val="Compact"/>
              <w:jc w:val="left"/>
            </w:pPr>
            <w:r>
              <w:t xml:space="preserve">Raising loop gain does not increase repetitive behavior</w:t>
            </w:r>
          </w:p>
        </w:tc>
      </w:tr>
      <w:tr>
        <w:tc>
          <w:p>
            <w:pPr>
              <w:pStyle w:val="Compact"/>
              <w:jc w:val="left"/>
            </w:pPr>
            <w:r>
              <w:t xml:space="preserve">5</w:t>
            </w:r>
          </w:p>
        </w:tc>
        <w:tc>
          <w:p>
            <w:pPr>
              <w:pStyle w:val="Compact"/>
              <w:jc w:val="left"/>
            </w:pPr>
            <w:r>
              <w:t xml:space="preserve">Observer/controller dissociation</w:t>
            </w:r>
          </w:p>
        </w:tc>
        <w:tc>
          <w:p>
            <w:pPr>
              <w:pStyle w:val="Compact"/>
              <w:jc w:val="left"/>
            </w:pPr>
            <w:r>
              <w:t xml:space="preserve">The two never dissociate across individuals</w:t>
            </w:r>
          </w:p>
        </w:tc>
      </w:tr>
      <w:tr>
        <w:tc>
          <w:p>
            <w:pPr>
              <w:pStyle w:val="Compact"/>
              <w:jc w:val="left"/>
            </w:pPr>
            <w:r>
              <w:t xml:space="preserve">6</w:t>
            </w:r>
          </w:p>
        </w:tc>
        <w:tc>
          <w:p>
            <w:pPr>
              <w:pStyle w:val="Compact"/>
              <w:jc w:val="left"/>
            </w:pPr>
            <w:r>
              <w:t xml:space="preserve">Temporal binding window</w:t>
            </w:r>
          </w:p>
        </w:tc>
        <w:tc>
          <w:p>
            <w:pPr>
              <w:pStyle w:val="Compact"/>
              <w:jc w:val="left"/>
            </w:pPr>
            <w:r>
              <w:t xml:space="preserve">No interaction between window width and instability measures</w:t>
            </w:r>
          </w:p>
        </w:tc>
      </w:tr>
      <w:tr>
        <w:tc>
          <w:p>
            <w:pPr>
              <w:pStyle w:val="Compact"/>
              <w:jc w:val="left"/>
            </w:pPr>
            <w:r>
              <w:t xml:space="preserve">7</w:t>
            </w:r>
          </w:p>
        </w:tc>
        <w:tc>
          <w:p>
            <w:pPr>
              <w:pStyle w:val="Compact"/>
              <w:jc w:val="left"/>
            </w:pPr>
            <w:r>
              <w:t xml:space="preserve">Mechanism of treatment effect</w:t>
            </w:r>
          </w:p>
        </w:tc>
        <w:tc>
          <w:p>
            <w:pPr>
              <w:pStyle w:val="Compact"/>
              <w:jc w:val="left"/>
            </w:pPr>
            <w:r>
              <w:t xml:space="preserve">Effective treatments change meaning with no change in regulatory dynamics</w:t>
            </w:r>
          </w:p>
        </w:tc>
      </w:tr>
    </w:tbl>
    <w:p>
      <w:pPr>
        <w:pStyle w:val="Heading3"/>
      </w:pPr>
      <w:bookmarkStart w:id="98" w:name="X11e5cfb5e4e4480b12a09bfbe2a97cce0ee7492"/>
      <w:r>
        <w:t xml:space="preserve">1. If reducing sensory intensity reliably outperformed increasing predictability</w:t>
      </w:r>
      <w:bookmarkEnd w:id="98"/>
    </w:p>
    <w:p>
      <w:pPr>
        <w:pStyle w:val="FirstParagraph"/>
      </w:pPr>
      <w:r>
        <w:t xml:space="preserve">The model’s central commitment is loop stability rather than stimulus magnitude. An overload account says the problem is how much is coming in. The stability account says the problem is how much is</w:t>
      </w:r>
      <w:r>
        <w:t xml:space="preserve"> </w:t>
      </w:r>
      <w:r>
        <w:rPr>
          <w:i/>
        </w:rPr>
        <w:t xml:space="preserve">unpredicted</w:t>
      </w:r>
      <w:r>
        <w:t xml:space="preserve">.</w:t>
      </w:r>
    </w:p>
    <w:p>
      <w:pPr>
        <w:pStyle w:val="BodyText"/>
      </w:pPr>
      <w:r>
        <w:t xml:space="preserve">The discriminating experiment holds total sensory energy constant and varies only predictability, then holds predictability constant and varies only intensity. If cutting intensity while leaving unpredictability untouched reliably produces larger regulatory improvement than making the same environment predictable at unchanged intensity, across settings, individuals and outcome measures, the model is wrong about what the loop responds to. One study showing this is a serious problem. Replication is decisive. If both help about equally, the model is unsupported and not refuted, because most real environments confound the two.</w:t>
      </w:r>
    </w:p>
    <w:p>
      <w:pPr>
        <w:pStyle w:val="Heading3"/>
      </w:pPr>
      <w:bookmarkStart w:id="99" w:name="X72bacbc12a4454b9e431ba3bcde1355c2a5e4d1"/>
      <w:r>
        <w:t xml:space="preserve">2. If interventions that add damping failed while sensory reduction succeeded</w:t>
      </w:r>
      <w:bookmarkEnd w:id="99"/>
    </w:p>
    <w:p>
      <w:pPr>
        <w:pStyle w:val="FirstParagraph"/>
      </w:pPr>
      <w:r>
        <w:t xml:space="preserve">Damping is the parameter the model claims is under-set, and there are direct ways to add it in a laboratory: introduce a small lag between action and displayed feedback, low-pass filter the feedback signal, or reduce feedback resolution so small errors aren’t displayed. Each reduces effective loop gain or increases phase margin without reducing sensory intensity.</w:t>
      </w:r>
    </w:p>
    <w:p>
      <w:pPr>
        <w:pStyle w:val="BodyText"/>
      </w:pPr>
      <w:r>
        <w:t xml:space="preserve">If those manipulations produced no improvement in tracking, sway or force regularity in autistic participants, while dimming the display or lowering the volume did, the proposed mechanism isn’t the operative one. This is the sharpest available test, because damping manipulations have no plausible sensory-comfort interpretation. Smoothed feedback is less immediate, not less intense.</w:t>
      </w:r>
    </w:p>
    <w:p>
      <w:pPr>
        <w:pStyle w:val="BodyText"/>
      </w:pPr>
      <w:r>
        <w:t xml:space="preserve">There’s a false-positive risk running the other way. Introduced lag can improve performance for reasons unrelated to damping, such as reducing the perceived urgency of correction. Follow any positive result by checking whether improvement scales with lag in the non-monotonic way control theory predicts. Too much lag should make things worse again. Monotonic improvement with increasing lag points to something other than damping.</w:t>
      </w:r>
    </w:p>
    <w:p>
      <w:pPr>
        <w:pStyle w:val="Heading3"/>
      </w:pPr>
      <w:bookmarkStart w:id="100" w:name="X4bfe4d74f1908fcb6c6529af7c0d4d3f35129e9"/>
      <w:r>
        <w:t xml:space="preserve">3. If repetitive behavior had no characteristic frequency structure</w:t>
      </w:r>
      <w:bookmarkEnd w:id="100"/>
    </w:p>
    <w:p>
      <w:pPr>
        <w:pStyle w:val="FirstParagraph"/>
      </w:pPr>
      <w:r>
        <w:t xml:space="preserve">A limit cycle has a frequency. If rocking, hand movements and vocal repetition are oscillatory signatures of an under-damped loop, accelerometry or video-derived kinematics should show a dominant frequency band per person, stable within that person across occasions, and related to the frequency at which their tracking or postural control shows excess power.</w:t>
      </w:r>
    </w:p>
    <w:p>
      <w:pPr>
        <w:pStyle w:val="BodyText"/>
      </w:pPr>
      <w:r>
        <w:t xml:space="preserve">The refuting result: broadband, unstructured motion with no dominant frequency. Or a dominant frequency varying randomly within a person across sessions. Or, most damaging, clean frequency structure in stereotypy with no relationship to that individual’s force-tracking or postural oscillation frequency. That last case preserves stereotypy as rhythmic while breaking the claim that it is the same loop.</w:t>
      </w:r>
    </w:p>
    <w:p>
      <w:pPr>
        <w:pStyle w:val="BodyText"/>
      </w:pPr>
      <w:r>
        <w:t xml:space="preserve">The within-person requirement is essential. Group-level correlation between average stereotypy severity and average sway could arise from severity confounding. The model requires that the person who oscillates at a particular frequency on posturography tends to stim at a related frequency.</w:t>
      </w:r>
    </w:p>
    <w:p>
      <w:pPr>
        <w:pStyle w:val="Heading3"/>
      </w:pPr>
      <w:bookmarkStart w:id="101" w:name="X411bca48fe301bd4db1684859f6e3a82c6a0b9c"/>
      <w:r>
        <w:t xml:space="preserve">4. If experimentally raising loop gain did not increase repetitive behavior</w:t>
      </w:r>
      <w:bookmarkEnd w:id="101"/>
    </w:p>
    <w:p>
      <w:pPr>
        <w:pStyle w:val="FirstParagraph"/>
      </w:pPr>
      <w:r>
        <w:t xml:space="preserve">The causal test, and the most direct one available. Display gain in a visuomotor tracking task is an experimental knob, and Mosconi et al. (2015) already showed that raising it worsens sustained force variability in autism.</w:t>
      </w:r>
    </w:p>
    <w:p>
      <w:pPr>
        <w:pStyle w:val="BodyText"/>
      </w:pPr>
      <w:r>
        <w:t xml:space="preserve">The prediction: within a session, raising display gain should increase not only force irregularity but observable repetitive behavior, in the same participants, with a dose-response relation. The model treats stimming and motor oscillation as one phenomenon at two scales, so a manipulation that provably raises loop gain has to move both.</w:t>
      </w:r>
    </w:p>
    <w:p>
      <w:pPr>
        <w:pStyle w:val="BodyText"/>
      </w:pPr>
      <w:r>
        <w:t xml:space="preserve">The refuting result: display gain raises force irregularity, as established, and leaves repetitive behavior unchanged. That dissociation would show the motor findings and the clinical phenomenon are not the same system, reducing the model to a description of fine motor control with no claim on the autism phenotype. The experiment is feasible with current equipment. Nobody has run it.</w:t>
      </w:r>
    </w:p>
    <w:p>
      <w:pPr>
        <w:pStyle w:val="Heading3"/>
      </w:pPr>
      <w:bookmarkStart w:id="102" w:name="X3390b660f87c9b639e5f72c1228813d2c59e536"/>
      <w:r>
        <w:t xml:space="preserve">5. If observer-side and controller-side atypicality never dissociated</w:t>
      </w:r>
      <w:bookmarkEnd w:id="102"/>
    </w:p>
    <w:p>
      <w:pPr>
        <w:pStyle w:val="FirstParagraph"/>
      </w:pPr>
      <w:r>
        <w:t xml:space="preserve">The model’s structural claim is that observer gain and controller gain are two parameters. Two parameters must be separately settable, or they are one parameter.</w:t>
      </w:r>
    </w:p>
    <w:p>
      <w:pPr>
        <w:pStyle w:val="BodyText"/>
      </w:pPr>
      <w:r>
        <w:t xml:space="preserve">The prediction: some autistic individuals should show marked observer-side atypicality (sensory reactivity, high weighting of evidence over prior, atypical psychophysical thresholds) with relatively normal controller behavior, and others the reverse. A large-sample factor analysis of observer-side and controller-side measures should recover two dimensions, not one.</w:t>
      </w:r>
    </w:p>
    <w:p>
      <w:pPr>
        <w:pStyle w:val="BodyText"/>
      </w:pPr>
      <w:r>
        <w:t xml:space="preserve">The refuting result: a single dimension. If every measure of sensory atypicality and every measure of repetitive behavior and instability loads on one factor, with no individuals in the off-diagonal cells, the model proposes a distinction the data don’t contain, and a one-parameter severity account is the better description.</w:t>
      </w:r>
    </w:p>
    <w:p>
      <w:pPr>
        <w:pStyle w:val="BodyText"/>
      </w:pPr>
      <w:r>
        <w:t xml:space="preserve">Existing work hints that dissociation is possible. Unruh et al. (2021) explicitly asked whether feedforward and feedback deficits co-segregate within individuals, testing 109 autistic participants and 101 controls across skeletomotor and oculomotor systems, 58 and 57 of whom completed both. They found reduced saccade accuracy alongside preserved initial grip force accuracy, and increased continuous force variability with no increase in trial-to-trial saccade accuracy variability. Partial rather than complete co-segregation. That isn’t the observer-controller dissociation this model needs, and it does show these measures don’t collapse onto one another.</w:t>
      </w:r>
    </w:p>
    <w:p>
      <w:pPr>
        <w:pStyle w:val="Heading3"/>
      </w:pPr>
      <w:bookmarkStart w:id="103" w:name="X22a3ff0f0c348cc8207505d6fdb6a9f013567bf"/>
      <w:r>
        <w:t xml:space="preserve">6. If temporal binding window width showed no interaction with instability</w:t>
      </w:r>
      <w:bookmarkEnd w:id="103"/>
    </w:p>
    <w:p>
      <w:pPr>
        <w:pStyle w:val="FirstParagraph"/>
      </w:pPr>
      <w:r>
        <w:t xml:space="preserve">Delay destabilizes. If the temporal binding window is a usable proxy for front-end delay, then within an autistic sample, individuals with wider windows should show more instability on the motor measures (more low-frequency force oscillation, more sway, lower entropy), with the relation holding after controlling for autism severity and IQ.</w:t>
      </w:r>
    </w:p>
    <w:p>
      <w:pPr>
        <w:pStyle w:val="BodyText"/>
      </w:pPr>
      <w:r>
        <w:t xml:space="preserve">The refuting result: a flat relationship. Wide- and narrow-window autistic individuals showing identical instability profiles would mean delay contributes nothing, and the model would have to be rewritten as a two-parameter gain-and-damping account with no temporal component.</w:t>
      </w:r>
    </w:p>
    <w:p>
      <w:pPr>
        <w:pStyle w:val="BodyText"/>
      </w:pPr>
      <w:r>
        <w:t xml:space="preserve">One caveat cuts both ways. Zhou et al. (2022) found intact temporal processing in verbally fluent autistic adults, and Zhou et al.’s (2018) meta-analysis found heterogeneous unisensory binding effects even where multisensory effects were consistent. If the window isn’t reliably widened in the population tested, a null interaction is uninformative rather than refuting. The test is valid only where binding window width varies meaningfully.</w:t>
      </w:r>
    </w:p>
    <w:p>
      <w:pPr>
        <w:pStyle w:val="Heading3"/>
      </w:pPr>
      <w:bookmarkStart w:id="104" w:name="X23adf1c13e9991f4193e67faf01f1562774d062"/>
      <w:r>
        <w:t xml:space="preserve">7. If effective treatments worked purely by changing meaning</w:t>
      </w:r>
      <w:bookmarkEnd w:id="104"/>
    </w:p>
    <w:p>
      <w:pPr>
        <w:pStyle w:val="FirstParagraph"/>
      </w:pPr>
      <w:r>
        <w:t xml:space="preserve">The refutation hardest to accept and most important to look for.</w:t>
      </w:r>
    </w:p>
    <w:p>
      <w:pPr>
        <w:pStyle w:val="BodyText"/>
      </w:pPr>
      <w:r>
        <w:t xml:space="preserve">Suppose a treatment reliably reduces repetitive behavior and distress. Psychoeducation. Acceptance-based work. A change in how the person or the family interprets the behavior. A change in demand operating through expectation rather than through signal. Now measure the loop: posturography, force tracking, accelerometry-derived stimming frequency, autonomic reactivity. If clinical improvement is large and regulatory dynamics are unchanged, the model has failed at its central task. It claimed the clinical picture</w:t>
      </w:r>
      <w:r>
        <w:t xml:space="preserve"> </w:t>
      </w:r>
      <w:r>
        <w:rPr>
          <w:i/>
        </w:rPr>
        <w:t xml:space="preserve">is</w:t>
      </w:r>
      <w:r>
        <w:t xml:space="preserve"> </w:t>
      </w:r>
      <w:r>
        <w:t xml:space="preserve">the loop dynamics. If the picture moves while the dynamics sit still, the loop is an epiphenomenon and something else is doing the work.</w:t>
      </w:r>
    </w:p>
    <w:p>
      <w:pPr>
        <w:pStyle w:val="BodyText"/>
      </w:pPr>
      <w:r>
        <w:t xml:space="preserve">I have sat with clients whose presentation shifted substantially when nothing about the input changed, only what they made of it. That’s the outcome this criterion exists to catch. I would rather catch it than explain it away.</w:t>
      </w:r>
    </w:p>
    <w:p>
      <w:pPr>
        <w:pStyle w:val="BodyText"/>
      </w:pPr>
      <w:r>
        <w:t xml:space="preserve">The measurement burden falls on the model, not on the treatment. Any trial claiming to support this framework has to include a dynamical measure. A trial showing symptom improvement without measuring loop parameters is uninformative in both directions. A weaker version applies to every entry in 5.3. None of those treatments has been tested with dynamical outcomes. The framework has no direct treatment evidence at all, only mechanistic plausibility, and mechanistic plausibility is worth very little.</w:t>
      </w:r>
    </w:p>
    <w:p>
      <w:r>
        <w:pict>
          <v:rect style="width:0;height:1.5pt" o:hralign="center" o:hrstd="t" o:hr="t"/>
        </w:pict>
      </w:r>
    </w:p>
    <w:p>
      <w:pPr>
        <w:pStyle w:val="Heading2"/>
      </w:pPr>
      <w:bookmarkStart w:id="105" w:name="the-honest-status"/>
      <w:r>
        <w:t xml:space="preserve">5.5 The honest status</w:t>
      </w:r>
      <w:bookmarkEnd w:id="105"/>
    </w:p>
    <w:p>
      <w:pPr>
        <w:pStyle w:val="FirstParagraph"/>
      </w:pPr>
      <w:r>
        <w:t xml:space="preserve">The model has not been tested. No study has manipulated observer gain and controller gain independently in autistic participants, measured damping directly, or predicted a treatment response from loop parameters and then confirmed it.</w:t>
      </w:r>
    </w:p>
    <w:p>
      <w:pPr>
        <w:pStyle w:val="BodyText"/>
      </w:pPr>
      <w:r>
        <w:t xml:space="preserve">The four supporting findings in 5.2 are reinterpretations. Lidstone et al. (2020) were testing visuomotor integration specificity across neurodevelopmental groups. Bloomer et al. (2025) were extending the sway literature into adulthood. Pettinato et al. (2024) were assessing the feasibility of combining linear and non-linear posturography. Mosconi and colleagues have spent a decade building a cerebellar account of sensorimotor dysfunction. None set out to test a gain-and-damping model, and none would necessarily accept this reading of their data.</w:t>
      </w:r>
    </w:p>
    <w:p>
      <w:pPr>
        <w:pStyle w:val="BodyText"/>
      </w:pPr>
      <w:r>
        <w:t xml:space="preserve">Reinterpretation is weaker evidence than prediction confirmed, and the gap isn’t small. Data collected for another purpose that later fits a framework shows only compatibility. A finding predicted before collection shows the framework has content. This model sits entirely on the weak side of that line.</w:t>
      </w:r>
    </w:p>
    <w:p>
      <w:pPr>
        <w:pStyle w:val="BodyText"/>
      </w:pPr>
      <w:r>
        <w:t xml:space="preserve">The specific risk is flexibility. Four free parameters (set point, observer gain, controller gain, damping) plus delay and arbitration can accommodate almost any treatment outcome after the fact.</w:t>
      </w:r>
    </w:p>
    <w:p>
      <w:pPr>
        <w:pStyle w:val="BodyText"/>
      </w:pPr>
      <w:r>
        <w:t xml:space="preserve">Sensory intervention works: observer gain.</w:t>
      </w:r>
      <w:r>
        <w:t xml:space="preserve"> </w:t>
      </w:r>
      <w:r>
        <w:t xml:space="preserve">It fails: wrong parameter.</w:t>
      </w:r>
      <w:r>
        <w:t xml:space="preserve"> </w:t>
      </w:r>
      <w:r>
        <w:t xml:space="preserve">Exercise helps: damping.</w:t>
      </w:r>
      <w:r>
        <w:t xml:space="preserve"> </w:t>
      </w:r>
      <w:r>
        <w:t xml:space="preserve">It doesn’t: wrong dose.</w:t>
      </w:r>
    </w:p>
    <w:p>
      <w:pPr>
        <w:pStyle w:val="BodyText"/>
      </w:pPr>
      <w:r>
        <w:t xml:space="preserve">Each move is individually reasonable and collectively fatal. That’s rationalization running out in front of logic, which is the ordinary human order of operations and precisely why the criteria in 5.4 exist.</w:t>
      </w:r>
    </w:p>
    <w:p>
      <w:pPr>
        <w:pStyle w:val="BodyText"/>
      </w:pPr>
      <w:r>
        <w:t xml:space="preserve">Section 5.4 is the protection, and it only works if those criteria are treated as commitments and not as a list. The strongest single test is number 4. Raise display gain experimentally and see whether observable repetitive behavior rises dose-dependently in the same session. It’s cheap, it uses established apparatus, the manipulation is unambiguous, and a null result would remove the model’s claim on the autism phenotype rather than merely complicating it.</w:t>
      </w:r>
    </w:p>
    <w:p>
      <w:pPr>
        <w:pStyle w:val="BodyText"/>
      </w:pPr>
      <w:r>
        <w:t xml:space="preserve">Clinicians should use the model accordingly. DO use it to explain to a family why predictability helps and why suppressing a behavior may cost more than it saves. DON’T use it as a basis for preferring any treatment over any other. Every recommendation in 5.3 stands or falls on its own evidence, and in most cases that evidence is weak.</w:t>
      </w:r>
    </w:p>
    <w:p>
      <w:r>
        <w:pict>
          <v:rect style="width:0;height:1.5pt" o:hralign="center" o:hrstd="t" o:hr="t"/>
        </w:pict>
      </w:r>
    </w:p>
    <w:p>
      <w:pPr>
        <w:pStyle w:val="Heading2"/>
      </w:pPr>
      <w:bookmarkStart w:id="106" w:name="a-note-on-applied-behavior-analysis"/>
      <w:r>
        <w:t xml:space="preserve">A note on applied behavior analysis</w:t>
      </w:r>
      <w:bookmarkEnd w:id="106"/>
    </w:p>
    <w:p>
      <w:pPr>
        <w:pStyle w:val="FirstParagraph"/>
      </w:pPr>
      <w:r>
        <w:t xml:space="preserve">Two things are true at once here. This section is worth reading only if you hold both.</w:t>
      </w:r>
    </w:p>
    <w:p>
      <w:pPr>
        <w:pStyle w:val="Heading3"/>
      </w:pPr>
      <w:bookmarkStart w:id="107" w:name="what-the-model-implies"/>
      <w:r>
        <w:t xml:space="preserve">What the model implies</w:t>
      </w:r>
      <w:bookmarkEnd w:id="107"/>
    </w:p>
    <w:p>
      <w:pPr>
        <w:pStyle w:val="FirstParagraph"/>
      </w:pPr>
      <w:r>
        <w:t xml:space="preserve">If repetitive behavior is the visible output of a loop correcting error, suppressing it removes an output that may be doing regulatory work. The behavior goes. The error stays. The predicted result of suppression without addressing the underlying disturbance is displacement rather than improved regulation. The error finds another output, or accumulates until it produces a larger event.</w:t>
      </w:r>
    </w:p>
    <w:p>
      <w:pPr>
        <w:pStyle w:val="BodyText"/>
      </w:pPr>
      <w:r>
        <w:t xml:space="preserve">That’s a mechanistic reason for the concern autistic adults have raised, and it deserves to be stated as one rather than filed as a values dispute. Kapp et al. (2019) interviewed and ran focus groups with 32 autistic adults about stimming. Two themes emerged: stimming as a self-regulatory mechanism, and stimming as socially unaccepted but capable of becoming accepted through understanding. Participants described it as an adaptive mechanism helping them soothe or communicate intense emotions and thoughts, and objected to treatment aiming to eliminate it. That’s a first-person account of an output serving a regulatory function, from the people running the system. Kapp (2025) develops the broader argument that sensory-movement differences are the earliest and most fundamental features of autism, with social-communicative differences downstream, which aligns closely with what a loop model predicts.</w:t>
      </w:r>
    </w:p>
    <w:p>
      <w:pPr>
        <w:pStyle w:val="BodyText"/>
      </w:pPr>
      <w:r>
        <w:t xml:space="preserve">Milton’s (2012) double empathy problem adds a related point. The breakdown in understanding between autistic and non-autistic people runs both ways, arising from mismatched salience and experience rather than from one-sided deficit. Applied to intervention design, behaviors judged inappropriate by non-autistic observers may be well adapted to the autistic person’s actual situation, and the observer’s difficulty reading them is half the problem.</w:t>
      </w:r>
    </w:p>
    <w:p>
      <w:pPr>
        <w:pStyle w:val="Heading3"/>
      </w:pPr>
      <w:bookmarkStart w:id="108" w:name="what-the-evidence-actually-shows"/>
      <w:r>
        <w:t xml:space="preserve">What the evidence actually shows</w:t>
      </w:r>
      <w:bookmarkEnd w:id="108"/>
    </w:p>
    <w:p>
      <w:pPr>
        <w:pStyle w:val="FirstParagraph"/>
      </w:pPr>
      <w:r>
        <w:t xml:space="preserve">The evidence for early intensive behavioral intervention is weaker than its position in service systems implies, and that needs stating without exaggeration in either direction.</w:t>
      </w:r>
    </w:p>
    <w:p>
      <w:pPr>
        <w:pStyle w:val="BodyText"/>
      </w:pPr>
      <w:r>
        <w:t xml:space="preserve">Reichow et al. (2018), the current Cochrane review, included five studies (one RCT and four controlled clinical trials) totaling 219 children (116 EIBI, 103 generic special education), aged 30.2 to 42.5 months at entry, treated for 24 to 36 months. There was low-quality evidence at post-treatment that EIBI improves adaptive behavior (mean difference 9.58 on the Vineland Adaptive Behavior Scale Composite, 95% CI [5.57, 13.60]). The authors concluded that evidence EIBI may help some children is weak, that including non-randomized studies creates high bias risk, and that overall GRADE quality was low or very low. Further research is very likely to change the estimate.</w:t>
      </w:r>
    </w:p>
    <w:p>
      <w:pPr>
        <w:pStyle w:val="BodyText"/>
      </w:pPr>
      <w:r>
        <w:t xml:space="preserve">Sandbank et al. (2020) is the larger and more demanding synthesis, and its results appear in 5.3: restricted to RCTs</w:t>
      </w:r>
      <w:r>
        <w:t xml:space="preserve"> </w:t>
      </w:r>
      <w:r>
        <w:rPr>
          <w:i/>
        </w:rPr>
        <w:t xml:space="preserve">and</w:t>
      </w:r>
      <w:r>
        <w:t xml:space="preserve"> </w:t>
      </w:r>
      <w:r>
        <w:t xml:space="preserve">to outcomes with no detection-bias risk, no intervention type showed significant effects on any outcome. That applies to behavioral intervention and its alternatives equally. Read it correctly. The finding is that the early intervention evidence base as a whole doesn’t survive its own bias controls, not that ABA fails while something else succeeds. Schaaf et al. (2025) found ABA and OT using Ayres Sensory Integration comparable on individualized goals, with neither significantly better than no treatment on the standardized daily-living measure.</w:t>
      </w:r>
    </w:p>
    <w:p>
      <w:pPr>
        <w:pStyle w:val="Heading3"/>
      </w:pPr>
      <w:bookmarkStart w:id="109" w:name="what-follows"/>
      <w:r>
        <w:t xml:space="preserve">What follows</w:t>
      </w:r>
      <w:bookmarkEnd w:id="109"/>
    </w:p>
    <w:p>
      <w:pPr>
        <w:pStyle w:val="FirstParagraph"/>
      </w:pPr>
      <w:r>
        <w:t xml:space="preserve">Neither side is well served by caricature. The community critique is a mechanistic claim, that an output serving a regulatory function shouldn’t be extinguished, which this model independently predicts and Kapp et al. (2019) documents in first-person data. Calling it anti-science misreads it. The clinical field isn’t indifferent to it either. More careful contemporary behavioral work targets skill acquisition and communication rather than stereotypy suppression, which sidesteps the objection entirely.</w:t>
      </w:r>
    </w:p>
    <w:p>
      <w:pPr>
        <w:pStyle w:val="BodyText"/>
      </w:pPr>
      <w:r>
        <w:t xml:space="preserve">Here is the practical position both the evidence and the model support.</w:t>
      </w:r>
    </w:p>
    <w:p>
      <w:pPr>
        <w:pStyle w:val="BodyText"/>
      </w:pPr>
      <w:r>
        <w:t xml:space="preserve">Interventions that add capability, communication access above all, have a mechanistic rationale and, for AAC in requesting, moderate evidence. Interventions whose primary goal is reducing visible repetitive behavior have no good evidence of benefit, a mechanistic reason to expect displacement, and clear first-person testimony against them.</w:t>
      </w:r>
    </w:p>
    <w:p>
      <w:pPr>
        <w:pStyle w:val="BodyText"/>
      </w:pPr>
      <w:r>
        <w:t xml:space="preserve">That’s enough to guide practice without settling the larger dispute.</w:t>
      </w:r>
    </w:p>
    <w:p>
      <w:r>
        <w:pict>
          <v:rect style="width:0;height:1.5pt" o:hralign="center" o:hrstd="t" o:hr="t"/>
        </w:pict>
      </w:r>
    </w:p>
    <w:p>
      <w:r>
        <w:br w:type="page"/>
      </w:r>
    </w:p>
    <w:p>
      <w:pPr>
        <w:pStyle w:val="Heading1"/>
      </w:pPr>
      <w:bookmarkStart w:id="110" w:name="Xb646a426e312fee3d6ee9a8801242a2819d565a"/>
      <w:r>
        <w:t xml:space="preserve">6. What this means for everyday practice: prediction, gain, and the maladaptive thought</w:t>
      </w:r>
      <w:bookmarkEnd w:id="110"/>
    </w:p>
    <w:p>
      <w:pPr>
        <w:pStyle w:val="FirstParagraph"/>
      </w:pPr>
      <w:r>
        <w:t xml:space="preserve">What you have read so far isn’t a treatment. It describes how a regulating system estimates its own state and then acts on the gap between that estimate and a set point. Nothing in it asks you to do anything you weren’t already doing.</w:t>
      </w:r>
    </w:p>
    <w:p>
      <w:pPr>
        <w:pStyle w:val="BodyText"/>
      </w:pPr>
      <w:r>
        <w:t xml:space="preserve">What it may do is tell you</w:t>
      </w:r>
      <w:r>
        <w:t xml:space="preserve"> </w:t>
      </w:r>
      <w:r>
        <w:rPr>
          <w:i/>
        </w:rPr>
        <w:t xml:space="preserve">why</w:t>
      </w:r>
      <w:r>
        <w:t xml:space="preserve"> </w:t>
      </w:r>
      <w:r>
        <w:t xml:space="preserve">the things you already do work, and why they fail in one specific, predictable way.</w:t>
      </w:r>
    </w:p>
    <w:p>
      <w:pPr>
        <w:pStyle w:val="BodyText"/>
      </w:pPr>
      <w:r>
        <w:t xml:space="preserve">That claim is modest on purpose.</w:t>
      </w:r>
      <w:r>
        <w:t xml:space="preserve"> </w:t>
      </w:r>
      <w:r>
        <w:rPr>
          <w:b/>
        </w:rPr>
        <w:t xml:space="preserve">I see this as a complement (not a replacement) to cognitive behavioral therapy.</w:t>
      </w:r>
      <w:r>
        <w:t xml:space="preserve"> </w:t>
      </w:r>
      <w:r>
        <w:t xml:space="preserve">CBT has decades of outcome data behind it. A control-theoretic account of its mechanism has none, and an account that contradicted that outcome data would be the account with the problem. What follows maps the two vocabularies onto each other closely enough to think with, and marks at every point which parts are established, which are reasonable extension, and which are speculation.</w:t>
      </w:r>
    </w:p>
    <w:p>
      <w:pPr>
        <w:pStyle w:val="BodyText"/>
      </w:pPr>
      <w:r>
        <w:t xml:space="preserve">The overlap you’re about to notice is the point. If a mechanical model of regulation lands on the same interventions clinicians arrived at empirically over five decades, that’s convergence, and convergence is the best evidence a young framework can offer.</w:t>
      </w:r>
    </w:p>
    <w:p>
      <w:r>
        <w:pict>
          <v:rect style="width:0;height:1.5pt" o:hralign="center" o:hrstd="t" o:hr="t"/>
        </w:pict>
      </w:r>
    </w:p>
    <w:p>
      <w:pPr>
        <w:pStyle w:val="Heading2"/>
      </w:pPr>
      <w:bookmarkStart w:id="111" w:name="Xa97d750fcb8d0c6d2c2a1043ccad64640fc609a"/>
      <w:r>
        <w:t xml:space="preserve">6.1 The model I teach, and the same model drawn as a loop</w:t>
      </w:r>
      <w:bookmarkEnd w:id="111"/>
    </w:p>
    <w:p>
      <w:pPr>
        <w:pStyle w:val="FirstParagraph"/>
      </w:pPr>
      <w:r>
        <w:t xml:space="preserve">Before the chain, the diagram. Here’s what I’ve put in front of students and clients for years.</w:t>
      </w:r>
    </w:p>
    <w:p>
      <w:pPr>
        <w:pStyle w:val="BodyText"/>
      </w:pPr>
      <w:r>
        <w:drawing>
          <wp:inline>
            <wp:extent cx="5334000" cy="3086387"/>
            <wp:effectExtent b="0" l="0" r="0" t="0"/>
            <wp:docPr descr="" title="" id="1" name="Picture"/>
            <a:graphic>
              <a:graphicData uri="http://schemas.openxmlformats.org/drawingml/2006/picture">
                <pic:pic>
                  <pic:nvPicPr>
                    <pic:cNvPr descr="figures/fig-5-1-cbt-model.png" id="0" name="Picture"/>
                    <pic:cNvPicPr>
                      <a:picLocks noChangeArrowheads="1" noChangeAspect="1"/>
                    </pic:cNvPicPr>
                  </pic:nvPicPr>
                  <pic:blipFill>
                    <a:blip r:embed="rId112"/>
                    <a:stretch>
                      <a:fillRect/>
                    </a:stretch>
                  </pic:blipFill>
                  <pic:spPr bwMode="auto">
                    <a:xfrm>
                      <a:off x="0" y="0"/>
                      <a:ext cx="5334000" cy="3086387"/>
                    </a:xfrm>
                    <a:prstGeom prst="rect">
                      <a:avLst/>
                    </a:prstGeom>
                    <a:noFill/>
                    <a:ln w="9525">
                      <a:noFill/>
                      <a:headEnd/>
                      <a:tailEnd/>
                    </a:ln>
                  </pic:spPr>
                </pic:pic>
              </a:graphicData>
            </a:graphic>
          </wp:inline>
        </w:drawing>
      </w:r>
    </w:p>
    <w:p>
      <w:pPr>
        <w:pStyle w:val="BodyText"/>
      </w:pPr>
      <w:r>
        <w:rPr>
          <w:i/>
        </w:rPr>
        <w:t xml:space="preserve">Figure 6.1. The cognitive behavioral model as I teach it.</w:t>
      </w:r>
    </w:p>
    <w:p>
      <w:pPr>
        <w:pStyle w:val="BodyText"/>
      </w:pPr>
      <w:r>
        <w:t xml:space="preserve">An event happens. You run a cognitive assessment of it, which shows up as automatic thoughts. That assessment produces an emotion. The emotion produces behavior. Underneath the assessment sit the schemas, the core beliefs, and those are what the assessment is running on. When they’re maladaptive, five show up over and over:</w:t>
      </w:r>
    </w:p>
    <w:p>
      <w:pPr>
        <w:pStyle w:val="BodyText"/>
      </w:pPr>
      <w:r>
        <w:rPr>
          <w:b/>
        </w:rPr>
        <w:t xml:space="preserve">I’m not good enough.</w:t>
      </w:r>
      <w:r>
        <w:t xml:space="preserve"> </w:t>
      </w:r>
      <w:r>
        <w:t xml:space="preserve">That one arrives as shame.</w:t>
      </w:r>
      <w:r>
        <w:t xml:space="preserve"> </w:t>
      </w:r>
      <w:r>
        <w:rPr>
          <w:b/>
        </w:rPr>
        <w:t xml:space="preserve">I’m not worthy of love.</w:t>
      </w:r>
      <w:r>
        <w:t xml:space="preserve"> </w:t>
      </w:r>
      <w:r>
        <w:rPr>
          <w:b/>
        </w:rPr>
        <w:t xml:space="preserve">I’m insignificant, or unimportant.</w:t>
      </w:r>
      <w:r>
        <w:t xml:space="preserve"> </w:t>
      </w:r>
      <w:r>
        <w:rPr>
          <w:b/>
        </w:rPr>
        <w:t xml:space="preserve">I’m unsafe, or I can’t keep myself safe.</w:t>
      </w:r>
      <w:r>
        <w:t xml:space="preserve"> </w:t>
      </w:r>
      <w:r>
        <w:rPr>
          <w:b/>
        </w:rPr>
        <w:t xml:space="preserve">I’m defective.</w:t>
      </w:r>
    </w:p>
    <w:p>
      <w:pPr>
        <w:pStyle w:val="BodyText"/>
      </w:pPr>
      <w:r>
        <w:t xml:space="preserve">They form early, roughly five to ten years old. From the child’s point of view, at that age adults know everything. The child has just become cognitive enough to build general rules out of specific events, and not yet cognitive enough to consider that a rule might be about somebody else. So everything that happens is about them. Bad things happening means something is wrong with them, and the rule gets written down and filed. To be clear, not all core beliefs are maladaptive, it’s the maladaptive ones that often get in our way.</w:t>
      </w:r>
    </w:p>
    <w:p>
      <w:pPr>
        <w:pStyle w:val="BodyText"/>
      </w:pPr>
      <w:r>
        <w:t xml:space="preserve">Now redraw it.</w:t>
      </w:r>
    </w:p>
    <w:p>
      <w:pPr>
        <w:pStyle w:val="BodyText"/>
      </w:pPr>
      <w:r>
        <w:drawing>
          <wp:inline>
            <wp:extent cx="5334000" cy="3061149"/>
            <wp:effectExtent b="0" l="0" r="0" t="0"/>
            <wp:docPr descr="" title="" id="1" name="Picture"/>
            <a:graphic>
              <a:graphicData uri="http://schemas.openxmlformats.org/drawingml/2006/picture">
                <pic:pic>
                  <pic:nvPicPr>
                    <pic:cNvPr descr="figures/fig-5-2-cbt-loop.png" id="0" name="Picture"/>
                    <pic:cNvPicPr>
                      <a:picLocks noChangeArrowheads="1" noChangeAspect="1"/>
                    </pic:cNvPicPr>
                  </pic:nvPicPr>
                  <pic:blipFill>
                    <a:blip r:embed="rId113"/>
                    <a:stretch>
                      <a:fillRect/>
                    </a:stretch>
                  </pic:blipFill>
                  <pic:spPr bwMode="auto">
                    <a:xfrm>
                      <a:off x="0" y="0"/>
                      <a:ext cx="5334000" cy="3061149"/>
                    </a:xfrm>
                    <a:prstGeom prst="rect">
                      <a:avLst/>
                    </a:prstGeom>
                    <a:noFill/>
                    <a:ln w="9525">
                      <a:noFill/>
                      <a:headEnd/>
                      <a:tailEnd/>
                    </a:ln>
                  </pic:spPr>
                </pic:pic>
              </a:graphicData>
            </a:graphic>
          </wp:inline>
        </w:drawing>
      </w:r>
    </w:p>
    <w:p>
      <w:pPr>
        <w:pStyle w:val="BodyText"/>
      </w:pPr>
      <w:r>
        <w:rPr>
          <w:i/>
        </w:rPr>
        <w:t xml:space="preserve">Figure 6.2. The same model as a control loop.</w:t>
      </w:r>
    </w:p>
    <w:p>
      <w:pPr>
        <w:pStyle w:val="BodyText"/>
      </w:pPr>
      <w:r>
        <w:t xml:space="preserve">Every term carries over with nothing left standing.</w:t>
      </w:r>
      <w:r>
        <w:t xml:space="preserve"> </w:t>
      </w:r>
      <w:r>
        <w:rPr>
          <w:b/>
        </w:rPr>
        <w:t xml:space="preserve">The event</w:t>
      </w:r>
      <w:r>
        <w:t xml:space="preserve"> </w:t>
      </w:r>
      <w:r>
        <w:t xml:space="preserve">is sensory input.</w:t>
      </w:r>
      <w:r>
        <w:t xml:space="preserve"> </w:t>
      </w:r>
      <w:r>
        <w:rPr>
          <w:b/>
        </w:rPr>
        <w:t xml:space="preserve">The cognitive assessment</w:t>
      </w:r>
      <w:r>
        <w:t xml:space="preserve"> </w:t>
      </w:r>
      <w:r>
        <w:t xml:space="preserve">is the estimator, and</w:t>
      </w:r>
      <w:r>
        <w:t xml:space="preserve"> </w:t>
      </w:r>
      <w:r>
        <w:rPr>
          <w:b/>
        </w:rPr>
        <w:t xml:space="preserve">the schemas are the priors it runs on</w:t>
      </w:r>
      <w:r>
        <w:t xml:space="preserve"> </w:t>
      </w:r>
      <w:r>
        <w:t xml:space="preserve">— the same job, not a rename.</w:t>
      </w:r>
      <w:r>
        <w:t xml:space="preserve"> </w:t>
      </w:r>
      <w:r>
        <w:rPr>
          <w:b/>
        </w:rPr>
        <w:t xml:space="preserve">The emotion</w:t>
      </w:r>
      <w:r>
        <w:t xml:space="preserve"> </w:t>
      </w:r>
      <w:r>
        <w:t xml:space="preserve">is the error signal, the gap between the estimate and the set point being defended.</w:t>
      </w:r>
      <w:r>
        <w:t xml:space="preserve"> </w:t>
      </w:r>
      <w:r>
        <w:rPr>
          <w:b/>
        </w:rPr>
        <w:t xml:space="preserve">The behavior</w:t>
      </w:r>
      <w:r>
        <w:t xml:space="preserve"> </w:t>
      </w:r>
      <w:r>
        <w:t xml:space="preserve">is the controller’s output.</w:t>
      </w:r>
    </w:p>
    <w:p>
      <w:pPr>
        <w:pStyle w:val="BodyText"/>
      </w:pPr>
      <w:r>
        <w:t xml:space="preserve">Then the piece the standard diagram doesn’t have. The behavior produces a</w:t>
      </w:r>
      <w:r>
        <w:t xml:space="preserve"> </w:t>
      </w:r>
      <w:r>
        <w:rPr>
          <w:b/>
        </w:rPr>
        <w:t xml:space="preserve">result</w:t>
      </w:r>
      <w:r>
        <w:t xml:space="preserve">, and the result is the next event. The chain isn’t a chain. It’s a loop, and it runs continuously.</w:t>
      </w:r>
    </w:p>
    <w:p>
      <w:pPr>
        <w:pStyle w:val="BodyText"/>
      </w:pPr>
      <w:r>
        <w:t xml:space="preserve">Two things follow.</w:t>
      </w:r>
    </w:p>
    <w:p>
      <w:pPr>
        <w:pStyle w:val="BodyText"/>
      </w:pPr>
      <w:r>
        <w:rPr>
          <w:b/>
        </w:rPr>
        <w:t xml:space="preserve">The step from assessment to emotion stops being a mystery.</w:t>
      </w:r>
      <w:r>
        <w:t xml:space="preserve"> </w:t>
      </w:r>
      <w:r>
        <w:t xml:space="preserve">In the standard teaching that arrow is the part that gets waved at, and students accept it because the sequence obviously works even when the mechanism is vague. Under the control reading the emotion is a comparison, and its magnitude is the size of a discrepancy. Which is why the same thought produces a different feeling in two people, and a different feeling in one person on two different days. The thought didn’t change. What it was being measured against did.</w:t>
      </w:r>
    </w:p>
    <w:p>
      <w:pPr>
        <w:pStyle w:val="BodyText"/>
      </w:pPr>
      <w:r>
        <w:t xml:space="preserve">That also gives four of the five core beliefs a job and separates out the fifth.</w:t>
      </w:r>
      <w:r>
        <w:t xml:space="preserve"> </w:t>
      </w:r>
      <w:r>
        <w:rPr>
          <w:i/>
        </w:rPr>
        <w:t xml:space="preserve">Not good enough, not worthy of love, insignificant, defective</w:t>
      </w:r>
      <w:r>
        <w:t xml:space="preserve"> </w:t>
      </w:r>
      <w:r>
        <w:t xml:space="preserve">are priors, biasing what the estimator concludes from thin evidence. But</w:t>
      </w:r>
      <w:r>
        <w:t xml:space="preserve"> </w:t>
      </w:r>
      <w:r>
        <w:rPr>
          <w:i/>
        </w:rPr>
        <w:t xml:space="preserve">I’m unsafe, or I can’t keep myself safe</w:t>
      </w:r>
      <w:r>
        <w:t xml:space="preserve"> </w:t>
      </w:r>
      <w:r>
        <w:t xml:space="preserve">isn’t doing that. It sets how much estimated danger is tolerable before the system calls it an error. That’s a set point, not a prior, and it needs a different intervention. Under the standard model all five sit in the same box.</w:t>
      </w:r>
    </w:p>
    <w:p>
      <w:pPr>
        <w:pStyle w:val="BodyText"/>
      </w:pPr>
      <w:r>
        <w:rPr>
          <w:b/>
        </w:rPr>
        <w:t xml:space="preserve">And the loop explains why a wrong belief survives contact with reality.</w:t>
      </w:r>
      <w:r>
        <w:t xml:space="preserve"> </w:t>
      </w:r>
      <w:r>
        <w:t xml:space="preserve">A chain ends at behavior, so reality never gets to answer.</w:t>
      </w:r>
    </w:p>
    <w:p>
      <w:pPr>
        <w:pStyle w:val="BodyText"/>
      </w:pPr>
      <w:r>
        <w:t xml:space="preserve">Work an example. The prior is</w:t>
      </w:r>
      <w:r>
        <w:t xml:space="preserve"> </w:t>
      </w:r>
      <w:r>
        <w:rPr>
          <w:i/>
        </w:rPr>
        <w:t xml:space="preserve">I’m not worthy of love.</w:t>
      </w:r>
      <w:r>
        <w:t xml:space="preserve"> </w:t>
      </w:r>
      <w:r>
        <w:t xml:space="preserve">The event is a partner who’s quiet at dinner. The estimator, running on that prior, reads quiet as withdrawal and withdrawal as the front edge of leaving. The set point is being securely connected. The gap is large, so the emotion is large, somewhere between fear and shame. The controller has high gain and no damping, so the reaction is to press. What’s wrong. Are we okay. You’d tell me, right. Three hours of it. The result is a partner who was tired at the start of the evening and is now irritated and genuinely pulling back.</w:t>
      </w:r>
    </w:p>
    <w:p>
      <w:pPr>
        <w:pStyle w:val="BodyText"/>
      </w:pPr>
      <w:r>
        <w:t xml:space="preserve">That result is the next event.</w:t>
      </w:r>
    </w:p>
    <w:p>
      <w:pPr>
        <w:pStyle w:val="BodyText"/>
      </w:pPr>
      <w:r>
        <w:t xml:space="preserve">Nobody in that loop did anything irrational. Every step follows correctly from the step before it. The prior was wrong when the evening started and accurate by the time it ended, because the loop went and made it accurate.</w:t>
      </w:r>
    </w:p>
    <w:p>
      <w:pPr>
        <w:pStyle w:val="BodyText"/>
      </w:pPr>
      <w:r>
        <w:t xml:space="preserve">That’s what a maladaptive core belief is, mechanically. Not a wrong idea sitting in storage waiting to be corrected. A prior running a loop that manufactures its own evidence. Which is also why arguing with the belief so often does nothing: you’re disputing a conclusion the system re-derives from fresh data every week.</w:t>
      </w:r>
    </w:p>
    <w:p>
      <w:r>
        <w:pict>
          <v:rect style="width:0;height:1.5pt" o:hralign="center" o:hrstd="t" o:hr="t"/>
        </w:pict>
      </w:r>
    </w:p>
    <w:p>
      <w:pPr>
        <w:pStyle w:val="Heading2"/>
      </w:pPr>
      <w:bookmarkStart w:id="114" w:name="does-the-assessment-do-both-jobs"/>
      <w:r>
        <w:t xml:space="preserve">6.2 Does the assessment do both jobs?</w:t>
      </w:r>
      <w:bookmarkEnd w:id="114"/>
    </w:p>
    <w:p>
      <w:pPr>
        <w:pStyle w:val="FirstParagraph"/>
      </w:pPr>
      <w:r>
        <w:t xml:space="preserve">Here’s the question I keep coming back to, and I don’t have an answer to it.</w:t>
      </w:r>
    </w:p>
    <w:p>
      <w:pPr>
        <w:pStyle w:val="BodyText"/>
      </w:pPr>
      <w:r>
        <w:t xml:space="preserve">The clean version of Figure 6.2 gives the cognitive assessment one job, which is to produce an estimate. But look at what an assessment actually delivers in a session. It tells you what’s happening and how much it matters, in the same breath.</w:t>
      </w:r>
      <w:r>
        <w:t xml:space="preserve"> </w:t>
      </w:r>
      <w:r>
        <w:rPr>
          <w:i/>
        </w:rPr>
        <w:t xml:space="preserve">He’s pulling away</w:t>
      </w:r>
      <w:r>
        <w:t xml:space="preserve"> </w:t>
      </w:r>
      <w:r>
        <w:t xml:space="preserve">is an estimate.</w:t>
      </w:r>
      <w:r>
        <w:t xml:space="preserve"> </w:t>
      </w:r>
      <w:r>
        <w:rPr>
          <w:i/>
        </w:rPr>
        <w:t xml:space="preserve">He’s pulling away and this is the end of everything</w:t>
      </w:r>
      <w:r>
        <w:t xml:space="preserve"> </w:t>
      </w:r>
      <w:r>
        <w:t xml:space="preserve">is an estimate with a gain setting attached to it.</w:t>
      </w:r>
    </w:p>
    <w:p>
      <w:pPr>
        <w:pStyle w:val="BodyText"/>
      </w:pPr>
      <w:r>
        <w:t xml:space="preserve">Appraisal research has said something close to this for decades. The appraisal is held to determine the intensity of the emotion and not only its content (Smith &amp; Ellsworth, 1985). If that’s right, the assessment box is doing two mechanically different jobs, and the standard model is treating them as one.</w:t>
      </w:r>
    </w:p>
    <w:p>
      <w:pPr>
        <w:pStyle w:val="BodyText"/>
      </w:pPr>
      <w:r>
        <w:t xml:space="preserve">Which opens something the diagram doesn’t show. A maladaptive core belief may be able to enter the loop in three different places.</w:t>
      </w:r>
    </w:p>
    <w:p>
      <w:pPr>
        <w:pStyle w:val="BodyText"/>
      </w:pPr>
      <w:r>
        <w:rPr>
          <w:b/>
        </w:rPr>
        <w:t xml:space="preserve">As a prior.</w:t>
      </w:r>
      <w:r>
        <w:t xml:space="preserve"> </w:t>
      </w:r>
      <w:r>
        <w:rPr>
          <w:i/>
        </w:rPr>
        <w:t xml:space="preserve">I’m defective</w:t>
      </w:r>
      <w:r>
        <w:t xml:space="preserve"> </w:t>
      </w:r>
      <w:r>
        <w:t xml:space="preserve">biases what the estimator concludes from thin evidence. Ambiguous feedback gets read as criticism.</w:t>
      </w:r>
    </w:p>
    <w:p>
      <w:pPr>
        <w:pStyle w:val="BodyText"/>
      </w:pPr>
      <w:r>
        <w:rPr>
          <w:b/>
        </w:rPr>
        <w:t xml:space="preserve">As a set point.</w:t>
      </w:r>
      <w:r>
        <w:t xml:space="preserve"> </w:t>
      </w:r>
      <w:r>
        <w:rPr>
          <w:i/>
        </w:rPr>
        <w:t xml:space="preserve">I’m unsafe, or I can’t keep myself safe</w:t>
      </w:r>
      <w:r>
        <w:t xml:space="preserve"> </w:t>
      </w:r>
      <w:r>
        <w:t xml:space="preserve">changes what counts as an error at all. Less estimated danger is tolerable, so the same situation opens a gap that wouldn’t open in somebody else.</w:t>
      </w:r>
    </w:p>
    <w:p>
      <w:pPr>
        <w:pStyle w:val="BodyText"/>
      </w:pPr>
      <w:r>
        <w:rPr>
          <w:b/>
        </w:rPr>
        <w:t xml:space="preserve">As a gain.</w:t>
      </w:r>
      <w:r>
        <w:t xml:space="preserve"> </w:t>
      </w:r>
      <w:r>
        <w:rPr>
          <w:i/>
        </w:rPr>
        <w:t xml:space="preserve">I’m not worthy of love</w:t>
      </w:r>
      <w:r>
        <w:t xml:space="preserve"> </w:t>
      </w:r>
      <w:r>
        <w:t xml:space="preserve">may not distort the reading whatsoever. It may set how hard the system acts once an error exists, because it reads the stakes as total. The estimate is accurate. The response is maximum.</w:t>
      </w:r>
    </w:p>
    <w:p>
      <w:pPr>
        <w:pStyle w:val="BodyText"/>
      </w:pPr>
      <w:r>
        <w:t xml:space="preserve">Same five beliefs. Three mechanisms. Three different treatments, which is the argument of this entire document arriving from a direction I hadn’t planned on.</w:t>
      </w:r>
    </w:p>
    <w:p>
      <w:pPr>
        <w:pStyle w:val="BodyText"/>
      </w:pPr>
      <w:r>
        <w:t xml:space="preserve">I can’t settle it from here and as far as I can tell nobody has. What’s worth saying is that it’s separable in principle. A belief operating as a prior predicts biased interpretation of</w:t>
      </w:r>
      <w:r>
        <w:t xml:space="preserve"> </w:t>
      </w:r>
      <w:r>
        <w:rPr>
          <w:i/>
        </w:rPr>
        <w:t xml:space="preserve">ambiguous</w:t>
      </w:r>
      <w:r>
        <w:t xml:space="preserve"> </w:t>
      </w:r>
      <w:r>
        <w:t xml:space="preserve">evidence and roughly normal handling of unambiguous evidence. A belief operating as a gain predicts accurate interpretation across the board and an outsized response to both. Hand the same person ambiguous and unambiguous versions of the same situation, and the two accounts come apart.</w:t>
      </w:r>
    </w:p>
    <w:p>
      <w:pPr>
        <w:pStyle w:val="BodyText"/>
      </w:pPr>
      <w:r>
        <w:t xml:space="preserve">That’s a study, and it’s a small one.</w:t>
      </w:r>
    </w:p>
    <w:p>
      <w:pPr>
        <w:pStyle w:val="BodyText"/>
      </w:pPr>
      <w:r>
        <w:rPr>
          <w:b/>
        </w:rPr>
        <w:t xml:space="preserve">Status: Greg’s hypothesis, untested.</w:t>
      </w:r>
      <w:r>
        <w:t xml:space="preserve"> </w:t>
      </w:r>
      <w:r>
        <w:t xml:space="preserve">Nobody has separated a belief’s role as prior, set point and gain empirically. The design above would do it.</w:t>
      </w:r>
    </w:p>
    <w:p>
      <w:r>
        <w:pict>
          <v:rect style="width:0;height:1.5pt" o:hralign="center" o:hrstd="t" o:hr="t"/>
        </w:pict>
      </w:r>
    </w:p>
    <w:p>
      <w:pPr>
        <w:pStyle w:val="Heading2"/>
      </w:pPr>
      <w:bookmarkStart w:id="115" w:name="the-chain-developed-carefully"/>
      <w:r>
        <w:t xml:space="preserve">6.3 The chain, developed carefully</w:t>
      </w:r>
      <w:bookmarkEnd w:id="115"/>
    </w:p>
    <w:p>
      <w:pPr>
        <w:pStyle w:val="FirstParagraph"/>
      </w:pPr>
      <w:r>
        <w:t xml:space="preserve">The clinical chain the model proposes runs like this:</w:t>
      </w:r>
    </w:p>
    <w:p>
      <w:pPr>
        <w:pStyle w:val="BlockText"/>
      </w:pPr>
      <w:r>
        <w:t xml:space="preserve">learning history → priors → predictions → the estimate the system regulates against → error signal → corrective action → the action prevents disconfirmation → the prior is reinforced</w:t>
      </w:r>
    </w:p>
    <w:p>
      <w:pPr>
        <w:pStyle w:val="FirstParagraph"/>
      </w:pPr>
      <w:r>
        <w:t xml:space="preserve">The arrows don’t carry equal evidential weight, so take each one separately.</w:t>
      </w:r>
    </w:p>
    <w:p>
      <w:pPr>
        <w:pStyle w:val="Heading3"/>
      </w:pPr>
      <w:bookmarkStart w:id="116" w:name="link-1-learning-history-shapes-priors"/>
      <w:r>
        <w:t xml:space="preserve">Link 1: Learning history shapes priors</w:t>
      </w:r>
      <w:bookmarkEnd w:id="116"/>
    </w:p>
    <w:p>
      <w:pPr>
        <w:pStyle w:val="FirstParagraph"/>
      </w:pPr>
      <w:r>
        <w:t xml:space="preserve">The oldest claim in cognitive therapy. Early and repeated experience builds durable representations that organize how a person reads everything after. Beck’s schema construct says exactly that, and the generic cognitive model Beck and Haigh (2014) set out four decades later still says it, adding a modes-and-energizing account of why schemas activate in some contexts and stay dormant in others. Predictive processing calls those same representations</w:t>
      </w:r>
      <w:r>
        <w:t xml:space="preserve"> </w:t>
      </w:r>
      <w:r>
        <w:rPr>
          <w:i/>
        </w:rPr>
        <w:t xml:space="preserve">priors</w:t>
      </w:r>
      <w:r>
        <w:t xml:space="preserve">: stored expectations about what is likely, built from what has already happened. Renaming them changes nothing.</w:t>
      </w:r>
    </w:p>
    <w:p>
      <w:pPr>
        <w:pStyle w:val="BodyText"/>
      </w:pPr>
      <w:r>
        <w:rPr>
          <w:b/>
        </w:rPr>
        <w:t xml:space="preserve">Status: established.</w:t>
      </w:r>
    </w:p>
    <w:p>
      <w:pPr>
        <w:pStyle w:val="Heading3"/>
      </w:pPr>
      <w:bookmarkStart w:id="117" w:name="link-2-priors-generate-predictions"/>
      <w:r>
        <w:t xml:space="preserve">Link 2: Priors generate predictions</w:t>
      </w:r>
      <w:bookmarkEnd w:id="117"/>
    </w:p>
    <w:p>
      <w:pPr>
        <w:pStyle w:val="FirstParagraph"/>
      </w:pPr>
      <w:r>
        <w:t xml:space="preserve">Here the two vocabularies come apart in a way that matters. In the standard cognitive model, a schema is a stored belief that becomes available and biases appraisal once something triggers it. In the predictive account, the prior isn’t sitting there waiting to be consulted. It is continuously</w:t>
      </w:r>
      <w:r>
        <w:t xml:space="preserve"> </w:t>
      </w:r>
      <w:r>
        <w:rPr>
          <w:i/>
        </w:rPr>
        <w:t xml:space="preserve">emitting</w:t>
      </w:r>
      <w:r>
        <w:t xml:space="preserve"> </w:t>
      </w:r>
      <w:r>
        <w:t xml:space="preserve">an expected sensory and interoceptive state, and perception is what you get when that expectation is reconciled with incoming evidence.</w:t>
      </w:r>
    </w:p>
    <w:p>
      <w:pPr>
        <w:pStyle w:val="BodyText"/>
      </w:pPr>
      <w:r>
        <w:t xml:space="preserve">The practical difference is timing. Classic reading: the event happens, appraisal follows, feeling follows appraisal. Predictive reading: the expectation was already in place before the event, and the</w:t>
      </w:r>
      <w:r>
        <w:t xml:space="preserve"> </w:t>
      </w:r>
      <w:r>
        <w:t xml:space="preserve">“</w:t>
      </w:r>
      <w:r>
        <w:t xml:space="preserve">event</w:t>
      </w:r>
      <w:r>
        <w:t xml:space="preserve">”</w:t>
      </w:r>
      <w:r>
        <w:t xml:space="preserve"> </w:t>
      </w:r>
      <w:r>
        <w:t xml:space="preserve">the person experiences is the reconciled product.</w:t>
      </w:r>
    </w:p>
    <w:p>
      <w:pPr>
        <w:pStyle w:val="BodyText"/>
      </w:pPr>
      <w:r>
        <w:t xml:space="preserve">Clients report the second version constantly. They tell you they walked into the room already braced. Appraisal-after-the-fact struggles with that. Prediction-before-the-fact doesn’t.</w:t>
      </w:r>
    </w:p>
    <w:p>
      <w:pPr>
        <w:pStyle w:val="BodyText"/>
      </w:pPr>
      <w:r>
        <w:rPr>
          <w:b/>
        </w:rPr>
        <w:t xml:space="preserve">Status: established as a general account of perception; plausible extension as an account of clinical appraisal.</w:t>
      </w:r>
      <w:r>
        <w:t xml:space="preserve"> </w:t>
      </w:r>
      <w:r>
        <w:t xml:space="preserve">Its application to schema activation in a therapy room is an extension, not a finding.</w:t>
      </w:r>
    </w:p>
    <w:p>
      <w:pPr>
        <w:pStyle w:val="Heading3"/>
      </w:pPr>
      <w:bookmarkStart w:id="118" w:name="Xf66903e38b43949b9cc619354b3e3112b478221"/>
      <w:r>
        <w:t xml:space="preserve">Link 3: Predictions set the estimate the system regulates against</w:t>
      </w:r>
      <w:bookmarkEnd w:id="118"/>
    </w:p>
    <w:p>
      <w:pPr>
        <w:pStyle w:val="FirstParagraph"/>
      </w:pPr>
      <w:r>
        <w:t xml:space="preserve">This is the load-bearing move. A controller never acts on the world. It acts on the</w:t>
      </w:r>
      <w:r>
        <w:t xml:space="preserve"> </w:t>
      </w:r>
      <w:r>
        <w:rPr>
          <w:i/>
        </w:rPr>
        <w:t xml:space="preserve">estimate of the world</w:t>
      </w:r>
      <w:r>
        <w:t xml:space="preserve"> </w:t>
      </w:r>
      <w:r>
        <w:t xml:space="preserve">the observer hands it. If the estimate is off, the correction is off, however well the controller is tuned. Every engineer who has chased a control problem knows the failure often isn’t in the controller at all. It’s upstream, in what the controller was told.</w:t>
      </w:r>
    </w:p>
    <w:p>
      <w:pPr>
        <w:pStyle w:val="BodyText"/>
      </w:pPr>
      <w:r>
        <w:t xml:space="preserve">Applied clinically: the anxious person isn’t over-reacting to their situation. They’re reacting accurately to an estimate of their situation that happens to be wrong.</w:t>
      </w:r>
    </w:p>
    <w:p>
      <w:pPr>
        <w:pStyle w:val="BodyText"/>
      </w:pPr>
      <w:r>
        <w:t xml:space="preserve">DON’T say:</w:t>
      </w:r>
      <w:r>
        <w:t xml:space="preserve"> </w:t>
      </w:r>
      <w:r>
        <w:t xml:space="preserve">“</w:t>
      </w:r>
      <w:r>
        <w:t xml:space="preserve">You’re being irrational.</w:t>
      </w:r>
      <w:r>
        <w:t xml:space="preserve">”</w:t>
      </w:r>
      <w:r>
        <w:br/>
      </w:r>
      <w:r>
        <w:t xml:space="preserve">SAY:</w:t>
      </w:r>
      <w:r>
        <w:t xml:space="preserve"> </w:t>
      </w:r>
      <w:r>
        <w:t xml:space="preserve">“</w:t>
      </w:r>
      <w:r>
        <w:t xml:space="preserve">I think your instrument is reading off.</w:t>
      </w:r>
      <w:r>
        <w:t xml:space="preserve">”</w:t>
      </w:r>
    </w:p>
    <w:p>
      <w:pPr>
        <w:pStyle w:val="BodyText"/>
      </w:pPr>
      <w:r>
        <w:t xml:space="preserve">That difference isn’t cosmetic. Not conceptually, and not in the room.</w:t>
      </w:r>
    </w:p>
    <w:p>
      <w:pPr>
        <w:pStyle w:val="BodyText"/>
      </w:pPr>
      <w:r>
        <w:rPr>
          <w:b/>
        </w:rPr>
        <w:t xml:space="preserve">Status: the model’s central proposal, and a reframe rather than a discovery.</w:t>
      </w:r>
      <w:r>
        <w:t xml:space="preserve"> </w:t>
      </w:r>
      <w:r>
        <w:t xml:space="preserve">Consistent with the cognitive model; not independently demonstrated as a description of clinical anxiety.</w:t>
      </w:r>
    </w:p>
    <w:p>
      <w:pPr>
        <w:pStyle w:val="Heading3"/>
      </w:pPr>
      <w:bookmarkStart w:id="119" w:name="X582c227766deb5dd39347518a0366bbbd117cf5"/>
      <w:r>
        <w:t xml:space="preserve">Link 4: High gain on the resulting error drives intense corrective action</w:t>
      </w:r>
      <w:bookmarkEnd w:id="119"/>
    </w:p>
    <w:p>
      <w:pPr>
        <w:pStyle w:val="FirstParagraph"/>
      </w:pPr>
      <w:r>
        <w:t xml:space="preserve">Two separable quantities enter here.</w:t>
      </w:r>
      <w:r>
        <w:t xml:space="preserve"> </w:t>
      </w:r>
      <w:r>
        <w:rPr>
          <w:b/>
        </w:rPr>
        <w:t xml:space="preserve">Observer gain</w:t>
      </w:r>
      <w:r>
        <w:t xml:space="preserve"> </w:t>
      </w:r>
      <w:r>
        <w:t xml:space="preserve">is how much new evidence is allowed to move the estimate, the precision term in predictive processing.</w:t>
      </w:r>
      <w:r>
        <w:t xml:space="preserve"> </w:t>
      </w:r>
      <w:r>
        <w:rPr>
          <w:b/>
        </w:rPr>
        <w:t xml:space="preserve">Controller gain</w:t>
      </w:r>
      <w:r>
        <w:t xml:space="preserve"> </w:t>
      </w:r>
      <w:r>
        <w:t xml:space="preserve">is how hard the system acts once an error is registered. A person can hold a wildly inaccurate estimate and respond calmly, or hold an accurate estimate and respond violently, and you cannot tell which from the surface behavior. Section 6.5 develops the clinical consequences.</w:t>
      </w:r>
    </w:p>
    <w:p>
      <w:pPr>
        <w:pStyle w:val="BodyText"/>
      </w:pPr>
      <w:r>
        <w:rPr>
          <w:b/>
        </w:rPr>
        <w:t xml:space="preserve">Status: the observer/controller distinction is standard in control engineering and a plausible extension to affect regulation. Its clinical dissociation in humans has not, to the author’s knowledge, been directly demonstrated.</w:t>
      </w:r>
    </w:p>
    <w:p>
      <w:pPr>
        <w:pStyle w:val="Heading3"/>
      </w:pPr>
      <w:bookmarkStart w:id="120" w:name="Xe44ab0da27aca5f856ef972ab1efd9dc4668b55"/>
      <w:r>
        <w:t xml:space="preserve">Link 5: The corrective action prevents disconfirmation</w:t>
      </w:r>
      <w:bookmarkEnd w:id="120"/>
    </w:p>
    <w:p>
      <w:pPr>
        <w:pStyle w:val="FirstParagraph"/>
      </w:pPr>
      <w:r>
        <w:t xml:space="preserve">This is the best-evidenced part of the chain, and control theory had nothing to do with it. It came from clinical observation of safety behaviors (Salkovskis, 1991) and it was tested experimentally: patients with panic disorder and agoraphobia asked to drop their safety-seeking behaviors during exposure showed greater reduction in catastrophic belief and anxiety than those who kept them (Salkovskis, Clark, Hackmann, Wells, &amp; Gelder, 1999). In control language, the safety behavior removes the error signal without ever testing the estimate. The loop settles. Nothing is learned.</w:t>
      </w:r>
    </w:p>
    <w:p>
      <w:pPr>
        <w:pStyle w:val="BodyText"/>
      </w:pPr>
      <w:r>
        <w:rPr>
          <w:b/>
        </w:rPr>
        <w:t xml:space="preserve">Status: established, with an important qualification.</w:t>
      </w:r>
      <w:r>
        <w:t xml:space="preserve"> </w:t>
      </w:r>
      <w:r>
        <w:t xml:space="preserve">Rachman, Radomsky and Shafran (2008) argued that blanket rejection of safety behavior goes too far, and that judicious early use can help, partly because safety behavior doesn’t always prevent disconfirmatory experience. State the mechanism properly and the argument stops being about whether safety behavior is bad: an action that terminates the error signal before the prediction is tested prevents updating. That’s the whole rule.</w:t>
      </w:r>
    </w:p>
    <w:p>
      <w:pPr>
        <w:pStyle w:val="Heading3"/>
      </w:pPr>
      <w:bookmarkStart w:id="121" w:name="link-6-the-prior-is-reinforced"/>
      <w:r>
        <w:t xml:space="preserve">Link 6: The prior is reinforced</w:t>
      </w:r>
      <w:bookmarkEnd w:id="121"/>
    </w:p>
    <w:p>
      <w:pPr>
        <w:pStyle w:val="FirstParagraph"/>
      </w:pPr>
      <w:r>
        <w:t xml:space="preserve">If the feared outcome doesn’t occur</w:t>
      </w:r>
      <w:r>
        <w:t xml:space="preserve"> </w:t>
      </w:r>
      <w:r>
        <w:rPr>
          <w:i/>
        </w:rPr>
        <w:t xml:space="preserve">and</w:t>
      </w:r>
      <w:r>
        <w:t xml:space="preserve"> </w:t>
      </w:r>
      <w:r>
        <w:t xml:space="preserve">the person attributes its non-occurrence to the corrective action, the prior survives intact and gains a supporting instance.</w:t>
      </w:r>
      <w:r>
        <w:t xml:space="preserve"> </w:t>
      </w:r>
      <w:r>
        <w:rPr>
          <w:b/>
        </w:rPr>
        <w:t xml:space="preserve">Status: standard maintenance account in the cognitive model; needs no control-theoretic gloss to be true.</w:t>
      </w:r>
    </w:p>
    <w:p>
      <w:pPr>
        <w:pStyle w:val="BodyText"/>
      </w:pPr>
      <w:r>
        <w:drawing>
          <wp:inline>
            <wp:extent cx="5334000" cy="2331191"/>
            <wp:effectExtent b="0" l="0" r="0" t="0"/>
            <wp:docPr descr="" title="" id="1" name="Picture"/>
            <a:graphic>
              <a:graphicData uri="http://schemas.openxmlformats.org/drawingml/2006/picture">
                <pic:pic>
                  <pic:nvPicPr>
                    <pic:cNvPr descr="figures/fig-6-1-clinical-chain.png" id="0" name="Picture"/>
                    <pic:cNvPicPr>
                      <a:picLocks noChangeArrowheads="1" noChangeAspect="1"/>
                    </pic:cNvPicPr>
                  </pic:nvPicPr>
                  <pic:blipFill>
                    <a:blip r:embed="rId122"/>
                    <a:stretch>
                      <a:fillRect/>
                    </a:stretch>
                  </pic:blipFill>
                  <pic:spPr bwMode="auto">
                    <a:xfrm>
                      <a:off x="0" y="0"/>
                      <a:ext cx="5334000" cy="2331191"/>
                    </a:xfrm>
                    <a:prstGeom prst="rect">
                      <a:avLst/>
                    </a:prstGeom>
                    <a:noFill/>
                    <a:ln w="9525">
                      <a:noFill/>
                      <a:headEnd/>
                      <a:tailEnd/>
                    </a:ln>
                  </pic:spPr>
                </pic:pic>
              </a:graphicData>
            </a:graphic>
          </wp:inline>
        </w:drawing>
      </w:r>
    </w:p>
    <w:p>
      <w:pPr>
        <w:pStyle w:val="BodyText"/>
      </w:pPr>
      <w:r>
        <w:rPr>
          <w:i/>
        </w:rPr>
        <w:t xml:space="preserve">Figure 6.3. The reinforcing loop. The corrective action succeeds in reducing distress, which is exactly why the belief that made it necessary is never tested.</w:t>
      </w:r>
    </w:p>
    <w:p>
      <w:pPr>
        <w:pStyle w:val="Heading3"/>
      </w:pPr>
      <w:bookmarkStart w:id="123" w:name="X430a940c67991a6a8974cb86a447858c9e06138"/>
      <w:r>
        <w:t xml:space="preserve">Worked example: social anxiety (illustrative, not a real case)</w:t>
      </w:r>
      <w:bookmarkEnd w:id="123"/>
    </w:p>
    <w:p>
      <w:pPr>
        <w:pStyle w:val="FirstParagraph"/>
      </w:pPr>
      <w:r>
        <w:t xml:space="preserve">An illustrative composite. An adult with a history of being publicly corrected at school carries a prior of the form</w:t>
      </w:r>
      <w:r>
        <w:t xml:space="preserve"> </w:t>
      </w:r>
      <w:r>
        <w:rPr>
          <w:i/>
        </w:rPr>
        <w:t xml:space="preserve">when I speak, people will judge what I said as stupid.</w:t>
      </w:r>
      <w:r>
        <w:t xml:space="preserve"> </w:t>
      </w:r>
      <w:r>
        <w:t xml:space="preserve">That prior doesn’t get consulted after the meeting. It is emitted before the meeting begins, and it sets the expected state: hostile audience, imminent evaluation.</w:t>
      </w:r>
    </w:p>
    <w:p>
      <w:pPr>
        <w:pStyle w:val="BodyText"/>
      </w:pPr>
      <w:r>
        <w:t xml:space="preserve">Because the prior is held with high confidence, the actual room barely moves the estimate. Neutral faces read as neutral-tending-hostile. A colleague looking at their phone gets scored as disengagement.</w:t>
      </w:r>
    </w:p>
    <w:p>
      <w:pPr>
        <w:pStyle w:val="BodyText"/>
      </w:pPr>
      <w:r>
        <w:t xml:space="preserve">The error between</w:t>
      </w:r>
      <w:r>
        <w:t xml:space="preserve"> </w:t>
      </w:r>
      <w:r>
        <w:t xml:space="preserve">“</w:t>
      </w:r>
      <w:r>
        <w:t xml:space="preserve">I am being judged</w:t>
      </w:r>
      <w:r>
        <w:t xml:space="preserve">”</w:t>
      </w:r>
      <w:r>
        <w:t xml:space="preserve"> </w:t>
      </w:r>
      <w:r>
        <w:t xml:space="preserve">and</w:t>
      </w:r>
      <w:r>
        <w:t xml:space="preserve"> </w:t>
      </w:r>
      <w:r>
        <w:t xml:space="preserve">“</w:t>
      </w:r>
      <w:r>
        <w:t xml:space="preserve">I need not to be judged</w:t>
      </w:r>
      <w:r>
        <w:t xml:space="preserve">”</w:t>
      </w:r>
      <w:r>
        <w:t xml:space="preserve"> </w:t>
      </w:r>
      <w:r>
        <w:t xml:space="preserve">is large. Controller gain is high, so the correction is intense. Rehearse every sentence silently. Speak as little as possible. Keep it short. Monitor the self instead of the room.</w:t>
      </w:r>
    </w:p>
    <w:p>
      <w:pPr>
        <w:pStyle w:val="BodyText"/>
      </w:pPr>
      <w:r>
        <w:t xml:space="preserve">The meeting ends without incident, and the prior survives. The person never tested</w:t>
      </w:r>
      <w:r>
        <w:t xml:space="preserve"> </w:t>
      </w:r>
      <w:r>
        <w:rPr>
          <w:i/>
        </w:rPr>
        <w:t xml:space="preserve">when I speak freely, people judge me</w:t>
      </w:r>
      <w:r>
        <w:t xml:space="preserve">. They tested</w:t>
      </w:r>
      <w:r>
        <w:t xml:space="preserve"> </w:t>
      </w:r>
      <w:r>
        <w:rPr>
          <w:i/>
        </w:rPr>
        <w:t xml:space="preserve">when I speak in a heavily controlled way, nothing bad happens</w:t>
      </w:r>
      <w:r>
        <w:t xml:space="preserve">, which is perfectly compatible with the prior. Self-monitoring also degraded the evidence stream that could have moved the estimate: they were watching themselves, not the audience, so the observer had almost no external data to work with.</w:t>
      </w:r>
    </w:p>
    <w:p>
      <w:pPr>
        <w:pStyle w:val="BodyText"/>
      </w:pPr>
      <w:r>
        <w:t xml:space="preserve">Every element of that is available in the standard cognitive formulation. What the control reading adds is a statement about where the intervention has to land. Not on the content of the belief alone, but on the confidence it’s held with and on the actions keeping it untested.</w:t>
      </w:r>
    </w:p>
    <w:p>
      <w:pPr>
        <w:pStyle w:val="Heading3"/>
      </w:pPr>
      <w:bookmarkStart w:id="124" w:name="X74d3e6817ba3de117bbfc9a5cd28ab1fd7c7a65"/>
      <w:r>
        <w:t xml:space="preserve">Worked example: panic (illustrative, not a real case)</w:t>
      </w:r>
      <w:bookmarkEnd w:id="124"/>
    </w:p>
    <w:p>
      <w:pPr>
        <w:pStyle w:val="FirstParagraph"/>
      </w:pPr>
      <w:r>
        <w:t xml:space="preserve">Clark’s (1986) model of panic is catastrophic misinterpretation of benign bodily sensations. A palpitation is read as cardiac failure, the reading generates arousal, the arousal generates more sensation, the loop closes.</w:t>
      </w:r>
    </w:p>
    <w:p>
      <w:pPr>
        <w:pStyle w:val="BodyText"/>
      </w:pPr>
      <w:r>
        <w:t xml:space="preserve">Read as a control problem, the front end of that loop is an interoceptive observer whose estimate is dominated by a prior of the form</w:t>
      </w:r>
      <w:r>
        <w:t xml:space="preserve"> </w:t>
      </w:r>
      <w:r>
        <w:rPr>
          <w:i/>
        </w:rPr>
        <w:t xml:space="preserve">this sensation means catastrophe</w:t>
      </w:r>
      <w:r>
        <w:t xml:space="preserve">. Barrett and Simmons (2015) and Paulus and Stein (2006) both propose that interoception is substantially predictive rather than purely afferent, and that anxiety involves an altered interoceptive prediction signal. Then controller gain takes over: escape, seat-finding, breathing control, calling someone. The correction terminates the error, the catastrophe doesn’t occur, the attribution goes to the correction, and the prior gains an instance.</w:t>
      </w:r>
    </w:p>
    <w:p>
      <w:pPr>
        <w:pStyle w:val="BodyText"/>
      </w:pPr>
      <w:r>
        <w:rPr>
          <w:b/>
        </w:rPr>
        <w:t xml:space="preserve">Be honest about what this is.</w:t>
      </w:r>
      <w:r>
        <w:t xml:space="preserve"> </w:t>
      </w:r>
      <w:r>
        <w:t xml:space="preserve">It restates Clark’s model and predicts nothing Clark’s model didn’t. Its only potential advantage is making the</w:t>
      </w:r>
      <w:r>
        <w:t xml:space="preserve"> </w:t>
      </w:r>
      <w:r>
        <w:rPr>
          <w:i/>
        </w:rPr>
        <w:t xml:space="preserve">separateness</w:t>
      </w:r>
      <w:r>
        <w:t xml:space="preserve"> </w:t>
      </w:r>
      <w:r>
        <w:t xml:space="preserve">of two clinical targets explicit, confidence in the interoceptive prediction and intensity of the corrective response, where the original runs them together.</w:t>
      </w:r>
    </w:p>
    <w:p>
      <w:r>
        <w:pict>
          <v:rect style="width:0;height:1.5pt" o:hralign="center" o:hrstd="t" o:hr="t"/>
        </w:pict>
      </w:r>
    </w:p>
    <w:p>
      <w:pPr>
        <w:pStyle w:val="Heading2"/>
      </w:pPr>
      <w:bookmarkStart w:id="125" w:name="X92c833003874b66d5009f5cc93e94abef696228"/>
      <w:r>
        <w:t xml:space="preserve">6.4 Where this agrees with what CBT already knows, and what it adds on top</w:t>
      </w:r>
      <w:bookmarkEnd w:id="125"/>
    </w:p>
    <w:p>
      <w:pPr>
        <w:pStyle w:val="Heading3"/>
      </w:pPr>
      <w:bookmarkStart w:id="126" w:name="X393541f20437c2fcaf386772ebc08f8e65cb413"/>
      <w:r>
        <w:t xml:space="preserve">Schemas as priors: what the reframe actually adds</w:t>
      </w:r>
      <w:bookmarkEnd w:id="126"/>
    </w:p>
    <w:p>
      <w:pPr>
        <w:pStyle w:val="FirstParagraph"/>
      </w:pPr>
      <w:r>
        <w:t xml:space="preserve">The lazy version says</w:t>
      </w:r>
      <w:r>
        <w:t xml:space="preserve"> </w:t>
      </w:r>
      <w:r>
        <w:t xml:space="preserve">“</w:t>
      </w:r>
      <w:r>
        <w:t xml:space="preserve">schemas are priors</w:t>
      </w:r>
      <w:r>
        <w:t xml:space="preserve">”</w:t>
      </w:r>
      <w:r>
        <w:t xml:space="preserve"> </w:t>
      </w:r>
      <w:r>
        <w:t xml:space="preserve">and stops. That’s vocabulary substitution. Starbucks calling a small a tall doesn’t put more coffee in the cup.</w:t>
      </w:r>
    </w:p>
    <w:p>
      <w:pPr>
        <w:pStyle w:val="BodyText"/>
      </w:pPr>
      <w:r>
        <w:t xml:space="preserve">The addition is</w:t>
      </w:r>
      <w:r>
        <w:t xml:space="preserve"> </w:t>
      </w:r>
      <w:r>
        <w:rPr>
          <w:b/>
        </w:rPr>
        <w:t xml:space="preserve">precision</w:t>
      </w:r>
      <w:r>
        <w:t xml:space="preserve">. In the standard cognitive model a belief has content and strength, and strength usually gets assessed on a 0–100 conviction rating. In the predictive account, the confidence attached to a prediction isn’t a property of the content at all. It’s a separate parameter determining how much weight the prediction gets against incoming evidence, and it can be moved without touching the content. The two dissociate constantly, and that dissociation explains one of the most common failures in a course of CBT.</w:t>
      </w:r>
    </w:p>
    <w:p>
      <w:pPr>
        <w:pStyle w:val="BodyText"/>
      </w:pPr>
      <w:r>
        <w:t xml:space="preserve">Take two clients who both say</w:t>
      </w:r>
      <w:r>
        <w:t xml:space="preserve"> </w:t>
      </w:r>
      <w:r>
        <w:t xml:space="preserve">“</w:t>
      </w:r>
      <w:r>
        <w:t xml:space="preserve">people think I’m stupid,</w:t>
      </w:r>
      <w:r>
        <w:t xml:space="preserve">”</w:t>
      </w:r>
      <w:r>
        <w:t xml:space="preserve"> </w:t>
      </w:r>
      <w:r>
        <w:t xml:space="preserve">both rating conviction at 70%. In one, the content is the problem: the belief is wrong, and contrary evidence gets in. Restructure the content and the estimate moves. In the other, the content may be partly accurate in some settings, but the prediction is held at such high precision that no evidence moves the estimate at all. Restructuring changes the words and leaves the parameter untouched. The client agrees with you and feels no different.</w:t>
      </w:r>
    </w:p>
    <w:p>
      <w:pPr>
        <w:pStyle w:val="BodyText"/>
      </w:pPr>
      <w:r>
        <w:t xml:space="preserve">This also explains why conviction ratings are a poor guide to prognosis. I spent years reading a conviction rating as though it told me how hard a belief would be to shift. It doesn’t. It tells you where the estimate currently sits. It says nothing about whether the estimate is MOVABLE, and movability is the thing you’re actually trying to change.</w:t>
      </w:r>
    </w:p>
    <w:p>
      <w:pPr>
        <w:pStyle w:val="BodyText"/>
      </w:pPr>
      <w:r>
        <w:rPr>
          <w:b/>
        </w:rPr>
        <w:t xml:space="preserve">Status: the strongest thing the reframe offers, and still a conceptual claim rather than an empirical result.</w:t>
      </w:r>
      <w:r>
        <w:t xml:space="preserve"> </w:t>
      </w:r>
      <w:r>
        <w:t xml:space="preserve">No one has shown that a precision measure predicts treatment response better than a conviction rating. That study is doable. Nobody has done it.</w:t>
      </w:r>
    </w:p>
    <w:p>
      <w:pPr>
        <w:pStyle w:val="Heading3"/>
      </w:pPr>
      <w:bookmarkStart w:id="127" w:name="X2975d754421b39da983d9814d7fe670c4165ab3"/>
      <w:r>
        <w:t xml:space="preserve">Safety behaviors and avoidance: the mechanism that prevents registration</w:t>
      </w:r>
      <w:bookmarkEnd w:id="127"/>
    </w:p>
    <w:p>
      <w:pPr>
        <w:pStyle w:val="FirstParagraph"/>
      </w:pPr>
      <w:r>
        <w:t xml:space="preserve">Clients describe safety behaviors in the language of good sense, and the sentences are reasonable on their face. Here is the translation.</w:t>
      </w:r>
    </w:p>
    <w:p>
      <w:pPr>
        <w:pStyle w:val="BodyText"/>
      </w:pPr>
      <w:r>
        <w:t xml:space="preserve">“</w:t>
      </w:r>
      <w:r>
        <w:t xml:space="preserve">I just wanted to be prepared.</w:t>
      </w:r>
      <w:r>
        <w:t xml:space="preserve">”</w:t>
      </w:r>
      <w:r>
        <w:t xml:space="preserve"> </w:t>
      </w:r>
      <w:r>
        <w:t xml:space="preserve">→ I rehearsed until the prediction could no longer be tested.</w:t>
      </w:r>
      <w:r>
        <w:br/>
      </w:r>
      <w:r>
        <w:t xml:space="preserve">“</w:t>
      </w:r>
      <w:r>
        <w:t xml:space="preserve">I only stayed twenty minutes, but I stayed.</w:t>
      </w:r>
      <w:r>
        <w:t xml:space="preserve">”</w:t>
      </w:r>
      <w:r>
        <w:t xml:space="preserve"> </w:t>
      </w:r>
      <w:r>
        <w:t xml:space="preserve">→ I ended it before the error signal could arrive.</w:t>
      </w:r>
      <w:r>
        <w:br/>
      </w:r>
      <w:r>
        <w:t xml:space="preserve">“</w:t>
      </w:r>
      <w:r>
        <w:t xml:space="preserve">I keep my phone in my hand, that’s all.</w:t>
      </w:r>
      <w:r>
        <w:t xml:space="preserve">”</w:t>
      </w:r>
      <w:r>
        <w:t xml:space="preserve"> </w:t>
      </w:r>
      <w:r>
        <w:t xml:space="preserve">→ I have an escape route, so nothing tonight counts as evidence.</w:t>
      </w:r>
      <w:r>
        <w:br/>
      </w:r>
      <w:r>
        <w:t xml:space="preserve">“</w:t>
      </w:r>
      <w:r>
        <w:t xml:space="preserve">I sat near the door in case I needed air.</w:t>
      </w:r>
      <w:r>
        <w:t xml:space="preserve">”</w:t>
      </w:r>
      <w:r>
        <w:t xml:space="preserve"> </w:t>
      </w:r>
      <w:r>
        <w:t xml:space="preserve">→ The outcome now belongs to the chair, not to the prediction.</w:t>
      </w:r>
      <w:r>
        <w:br/>
      </w:r>
      <w:r>
        <w:t xml:space="preserve">“</w:t>
      </w:r>
      <w:r>
        <w:t xml:space="preserve">I didn’t say much, and the meeting went fine.</w:t>
      </w:r>
      <w:r>
        <w:t xml:space="preserve">”</w:t>
      </w:r>
      <w:r>
        <w:t xml:space="preserve"> </w:t>
      </w:r>
      <w:r>
        <w:t xml:space="preserve">→ I tested a different prediction from the one that’s hurting me.</w:t>
      </w:r>
    </w:p>
    <w:p>
      <w:pPr>
        <w:pStyle w:val="BodyText"/>
      </w:pPr>
      <w:r>
        <w:t xml:space="preserve">Every one of those removes the signal without testing the estimate.</w:t>
      </w:r>
    </w:p>
    <w:p>
      <w:pPr>
        <w:pStyle w:val="BodyText"/>
      </w:pPr>
      <w:r>
        <w:t xml:space="preserve">The control account of safety behavior is direct. An error signal drives a corrective action. If that action removes the</w:t>
      </w:r>
      <w:r>
        <w:t xml:space="preserve"> </w:t>
      </w:r>
      <w:r>
        <w:rPr>
          <w:i/>
        </w:rPr>
        <w:t xml:space="preserve">signal</w:t>
      </w:r>
      <w:r>
        <w:t xml:space="preserve"> </w:t>
      </w:r>
      <w:r>
        <w:t xml:space="preserve">without testing the</w:t>
      </w:r>
      <w:r>
        <w:t xml:space="preserve"> </w:t>
      </w:r>
      <w:r>
        <w:rPr>
          <w:i/>
        </w:rPr>
        <w:t xml:space="preserve">estimate</w:t>
      </w:r>
      <w:r>
        <w:t xml:space="preserve">, the loop reaches equilibrium and no learning occurs. The system is working exactly as designed, regulating against a wrong reference. Salkovskis (1991) made the claim in cognitive terms and the 1999 experiment bore it out. It also clarifies why avoidance is more corrosive than distress: distress is uncomfortable but informative, while avoidance is comfortable, uninformative, and removes the data that would have updated the model.</w:t>
      </w:r>
    </w:p>
    <w:p>
      <w:pPr>
        <w:pStyle w:val="BodyText"/>
      </w:pPr>
      <w:r>
        <w:t xml:space="preserve">Rachman et al. (2008) put a necessary limit on this. If the safety behavior still permits the disconfirming experience to register, it doesn’t block learning, and it may enable the exposure that produces it. Stop auditing for the presence of safety behaviors. Audit for whether the prediction is being tested.</w:t>
      </w:r>
    </w:p>
    <w:p>
      <w:pPr>
        <w:pStyle w:val="Heading3"/>
      </w:pPr>
      <w:bookmarkStart w:id="128" w:name="Xe1979896338555d21aa6f74f712adf5c3ffbd34"/>
      <w:r>
        <w:t xml:space="preserve">The inhibitory learning model of exposure: the closest existing bridge</w:t>
      </w:r>
      <w:bookmarkEnd w:id="128"/>
    </w:p>
    <w:p>
      <w:pPr>
        <w:pStyle w:val="FirstParagraph"/>
      </w:pPr>
      <w:r>
        <w:t xml:space="preserve">Here the control account and existing CBT theory aren’t analogous. They’re nearly identical, and that deserves care.</w:t>
      </w:r>
    </w:p>
    <w:p>
      <w:pPr>
        <w:pStyle w:val="BodyText"/>
      </w:pPr>
      <w:r>
        <w:t xml:space="preserve">Craske, Treanor, Conway, Zbozinek and Vervliet (2014) set out an inhibitory learning approach to exposure, arguing that extinction doesn’t erase the original fear association but creates a competing inhibitory one, so the therapeutic target is the</w:t>
      </w:r>
      <w:r>
        <w:t xml:space="preserve"> </w:t>
      </w:r>
      <w:r>
        <w:rPr>
          <w:i/>
        </w:rPr>
        <w:t xml:space="preserve">learning</w:t>
      </w:r>
      <w:r>
        <w:t xml:space="preserve"> </w:t>
      </w:r>
      <w:r>
        <w:t xml:space="preserve">of the new association and its later</w:t>
      </w:r>
      <w:r>
        <w:t xml:space="preserve"> </w:t>
      </w:r>
      <w:r>
        <w:rPr>
          <w:i/>
        </w:rPr>
        <w:t xml:space="preserve">retrieval</w:t>
      </w:r>
      <w:r>
        <w:t xml:space="preserve">, not the reduction of within-session fear. Craske, Treanor, Zbozinek and Vervliet (2022) extended this into an inhibitory retrieval framework and the OptEx Nexus.</w:t>
      </w:r>
    </w:p>
    <w:p>
      <w:pPr>
        <w:pStyle w:val="BodyText"/>
      </w:pPr>
      <w:r>
        <w:t xml:space="preserve">The first principle in the 2014 paper is</w:t>
      </w:r>
      <w:r>
        <w:t xml:space="preserve"> </w:t>
      </w:r>
      <w:r>
        <w:rPr>
          <w:b/>
        </w:rPr>
        <w:t xml:space="preserve">expectancy violation</w:t>
      </w:r>
      <w:r>
        <w:t xml:space="preserve">. Exposure should maximize the mismatch between what the client expects and what actually happens, and should continue until that mismatch has been produced rather than until fear has subsided.</w:t>
      </w:r>
    </w:p>
    <w:p>
      <w:pPr>
        <w:pStyle w:val="BodyText"/>
      </w:pPr>
      <w:r>
        <w:t xml:space="preserve">Read that in control terms.</w:t>
      </w:r>
      <w:r>
        <w:t xml:space="preserve"> </w:t>
      </w:r>
      <w:r>
        <w:rPr>
          <w:i/>
        </w:rPr>
        <w:t xml:space="preserve">Maximize the mismatch between expected and actual outcome</w:t>
      </w:r>
      <w:r>
        <w:t xml:space="preserve"> </w:t>
      </w:r>
      <w:r>
        <w:t xml:space="preserve">is prediction error maximization. Not a metaphor for it. The same quantity in a different formalism. Craske’s model says learning is driven by the size of the mismatch. The predictive account says the estimate updates in proportion to precision-weighted prediction error. Same claim.</w:t>
      </w:r>
    </w:p>
    <w:p>
      <w:pPr>
        <w:pStyle w:val="BodyText"/>
      </w:pPr>
      <w:r>
        <w:t xml:space="preserve">The clinical consequences follow just as directly from the control account, because every one of them exists to make sure a prediction error is generated and registered. Don’t use fear reduction as the index of a successful exposure. Ask for an explicit prediction beforehand and check it afterwards. Vary the context. Combine feared stimuli. Remove safety signals. Occasionally reinforce rather than always disconfirm.</w:t>
      </w:r>
    </w:p>
    <w:p>
      <w:pPr>
        <w:pStyle w:val="BodyText"/>
      </w:pPr>
      <w:r>
        <w:t xml:space="preserve">DON’T ask:</w:t>
      </w:r>
      <w:r>
        <w:t xml:space="preserve"> </w:t>
      </w:r>
      <w:r>
        <w:t xml:space="preserve">“</w:t>
      </w:r>
      <w:r>
        <w:t xml:space="preserve">How anxious are you now compared with when we started?</w:t>
      </w:r>
      <w:r>
        <w:t xml:space="preserve">”</w:t>
      </w:r>
      <w:r>
        <w:br/>
      </w:r>
      <w:r>
        <w:t xml:space="preserve">SAY:</w:t>
      </w:r>
      <w:r>
        <w:t xml:space="preserve"> </w:t>
      </w:r>
      <w:r>
        <w:t xml:space="preserve">“</w:t>
      </w:r>
      <w:r>
        <w:t xml:space="preserve">What did you predict would happen? What actually happened?</w:t>
      </w:r>
      <w:r>
        <w:t xml:space="preserve">”</w:t>
      </w:r>
    </w:p>
    <w:p>
      <w:pPr>
        <w:pStyle w:val="BodyText"/>
      </w:pPr>
      <w:r>
        <w:rPr>
          <w:b/>
        </w:rPr>
        <w:t xml:space="preserve">This is the single most important paragraph in the section for a working clinician.</w:t>
      </w:r>
      <w:r>
        <w:t xml:space="preserve"> </w:t>
      </w:r>
      <w:r>
        <w:t xml:space="preserve">If the control model has clinical value, it’s because it says the effective ingredient in exposure is error generation rather than habituation, and that claim already exists in the literature with evidence behind it. The control reading doesn’t improve on Craske. It agrees with her.</w:t>
      </w:r>
    </w:p>
    <w:p>
      <w:pPr>
        <w:pStyle w:val="Heading3"/>
      </w:pPr>
      <w:bookmarkStart w:id="129" w:name="X0c34a58ee6cf0e86c8d802fd3b9050c6f869430"/>
      <w:r>
        <w:t xml:space="preserve">Behavioral experiments as prediction tests</w:t>
      </w:r>
      <w:bookmarkEnd w:id="129"/>
    </w:p>
    <w:p>
      <w:pPr>
        <w:pStyle w:val="FirstParagraph"/>
      </w:pPr>
      <w:r>
        <w:t xml:space="preserve">The Oxford Guide (Bennett-Levy, Butler, Fennell, Hackmann, Mueller, &amp; Westbrook, 2004) formalized behavioral experiments as planned activities designed to test the validity of a belief, with a prediction recorded in advance and an explicit review of the outcome against it. That’s a prediction-error protocol written before the vocabulary existed. Record the prediction. Generate the observation. Compute the discrepancy. Update.</w:t>
      </w:r>
    </w:p>
    <w:p>
      <w:pPr>
        <w:pStyle w:val="BodyText"/>
      </w:pPr>
      <w:r>
        <w:t xml:space="preserve">Reading it this way sharpens the account of why an experiment fails. It fails when the prediction was never stated precisely enough to be violated (</w:t>
      </w:r>
      <w:r>
        <w:t xml:space="preserve">“</w:t>
      </w:r>
      <w:r>
        <w:t xml:space="preserve">it will go badly</w:t>
      </w:r>
      <w:r>
        <w:t xml:space="preserve">”</w:t>
      </w:r>
      <w:r>
        <w:t xml:space="preserve"> </w:t>
      </w:r>
      <w:r>
        <w:t xml:space="preserve">can’t generate a clean error). It fails when precision on the prior is so high that the discrepancy gets absorbed rather than registered (</w:t>
      </w:r>
      <w:r>
        <w:t xml:space="preserve">“</w:t>
      </w:r>
      <w:r>
        <w:t xml:space="preserve">that was a fluke</w:t>
      </w:r>
      <w:r>
        <w:t xml:space="preserve">”</w:t>
      </w:r>
      <w:r>
        <w:t xml:space="preserve">). And it fails when a covert safety behavior meant the experiment tested a different prediction from the one written on the form.</w:t>
      </w:r>
    </w:p>
    <w:p>
      <w:pPr>
        <w:pStyle w:val="BodyText"/>
      </w:pPr>
      <w:r>
        <w:t xml:space="preserve">All three are cheap to prevent, and the prevention is the same in every case: write the prediction down before anything happens. Skip that step and you get the Home Depot outcome. One trip for the part you thought you needed, two more for the parts the job actually required.</w:t>
      </w:r>
    </w:p>
    <w:p>
      <w:pPr>
        <w:pStyle w:val="Heading3"/>
      </w:pPr>
      <w:bookmarkStart w:id="130" w:name="X2ee68a150b47581a9647fc15a3de8058823d955"/>
      <w:r>
        <w:t xml:space="preserve">Why insight alone often fails to change feeling</w:t>
      </w:r>
      <w:bookmarkEnd w:id="130"/>
    </w:p>
    <w:p>
      <w:pPr>
        <w:pStyle w:val="FirstParagraph"/>
      </w:pPr>
      <w:r>
        <w:t xml:space="preserve">Clients say it routinely.</w:t>
      </w:r>
      <w:r>
        <w:t xml:space="preserve"> </w:t>
      </w:r>
      <w:r>
        <w:t xml:space="preserve">“</w:t>
      </w:r>
      <w:r>
        <w:t xml:space="preserve">I know it’s irrational but I still feel it.</w:t>
      </w:r>
      <w:r>
        <w:t xml:space="preserve">”</w:t>
      </w:r>
      <w:r>
        <w:t xml:space="preserve"> </w:t>
      </w:r>
      <w:r>
        <w:t xml:space="preserve">Stott (2007) called it rational–emotional dissociation. The predictive account gives a specific reading: verbal belief change can move a high-level prior, the one that generates sentences, and leave the precision of lower-level predictions exactly where it was. The explicit model has updated. The model actually running the interoceptive and affective estimate has not. Both are running, and only one of them talks.</w:t>
      </w:r>
    </w:p>
    <w:p>
      <w:pPr>
        <w:pStyle w:val="BodyText"/>
      </w:pPr>
      <w:r>
        <w:t xml:space="preserve">Which lines up with something worth saying plainly. People decide emotionally and then build the logical case afterward. A Vulcan couldn’t run a real business, because rationalization gets there ahead of logic almost every time. Every clinician reading this has watched a client assemble an airtight argument for a conclusion they had already reached before they sat down.</w:t>
      </w:r>
    </w:p>
    <w:p>
      <w:pPr>
        <w:pStyle w:val="BodyText"/>
      </w:pPr>
      <w:r>
        <w:rPr>
          <w:strike/>
        </w:rPr>
        <w:t xml:space="preserve">I am afraid to be wrong in front of these people.</w:t>
      </w:r>
      <w:r>
        <w:t xml:space="preserve"> </w:t>
      </w:r>
      <w:r>
        <w:t xml:space="preserve">“</w:t>
      </w:r>
      <w:r>
        <w:t xml:space="preserve">I just want to make sure we’re all aligned before I commit.</w:t>
      </w:r>
      <w:r>
        <w:t xml:space="preserve">”</w:t>
      </w:r>
    </w:p>
    <w:p>
      <w:pPr>
        <w:pStyle w:val="BodyText"/>
      </w:pPr>
      <w:r>
        <w:t xml:space="preserve">The argument isn’t the cause. It’s the transcript. Treat the sentence as the output of the loop, and go after the loop.</w:t>
      </w:r>
    </w:p>
    <w:p>
      <w:pPr>
        <w:pStyle w:val="BodyText"/>
      </w:pPr>
      <w:r>
        <w:t xml:space="preserve">This is also consistent with the dismantling evidence. Ougrin’s (2011) meta-analysis of 20 randomized trials (n = 1,308) comparing cognitive therapy with exposure found no significant difference in panic disorder, PTSD or OCD, with cognitive therapy superior only in social phobia. If verbal restructuring were the active ingredient throughout, exposure shouldn’t keep matching it. If error generation were, this is roughly the pattern to expect, with social phobia as the informative exception, because there the feared outcome is often ambiguous and hard to disconfirm behaviorally.</w:t>
      </w:r>
    </w:p>
    <w:p>
      <w:pPr>
        <w:pStyle w:val="BodyText"/>
      </w:pPr>
      <w:r>
        <w:rPr>
          <w:b/>
        </w:rPr>
        <w:t xml:space="preserve">Status: speculative interpretation.</w:t>
      </w:r>
      <w:r>
        <w:t xml:space="preserve"> </w:t>
      </w:r>
      <w:r>
        <w:t xml:space="preserve">The dismantling data are real. Reading them as support for a precision account rather than for any of several alternatives is a choice.</w:t>
      </w:r>
    </w:p>
    <w:p>
      <w:pPr>
        <w:pStyle w:val="Heading3"/>
      </w:pPr>
      <w:bookmarkStart w:id="131" w:name="Xf21bd1af521aa26e543ab21123bb6736b171948"/>
      <w:r>
        <w:t xml:space="preserve">Interoceptive exposure in panic as a precision problem</w:t>
      </w:r>
      <w:bookmarkEnd w:id="131"/>
    </w:p>
    <w:p>
      <w:pPr>
        <w:pStyle w:val="FirstParagraph"/>
      </w:pPr>
      <w:r>
        <w:t xml:space="preserve">Interoceptive exposure, deliberately inducing sensations through hyperventilation, spinning, straw breathing, stair climbing, is a standard component of panic treatment.</w:t>
      </w:r>
    </w:p>
    <w:p>
      <w:pPr>
        <w:pStyle w:val="BodyText"/>
      </w:pPr>
      <w:r>
        <w:t xml:space="preserve">Reframed: the client feeling their heartbeat isn’t the problem. The interoceptive estimate is dominated by a high-precision prior about what the heartbeat means, and sensory evidence has almost no authority to move it. Interoceptive exposure forces a large, repeated, unambiguous mismatch between</w:t>
      </w:r>
      <w:r>
        <w:t xml:space="preserve"> </w:t>
      </w:r>
      <w:r>
        <w:rPr>
          <w:i/>
        </w:rPr>
        <w:t xml:space="preserve">this sensation means I am dying</w:t>
      </w:r>
      <w:r>
        <w:t xml:space="preserve"> </w:t>
      </w:r>
      <w:r>
        <w:t xml:space="preserve">and</w:t>
      </w:r>
      <w:r>
        <w:t xml:space="preserve"> </w:t>
      </w:r>
      <w:r>
        <w:rPr>
          <w:i/>
        </w:rPr>
        <w:t xml:space="preserve">this sensation preceded nothing</w:t>
      </w:r>
      <w:r>
        <w:t xml:space="preserve">. It goes after precision, not content. The client already knows verbally that palpitations aren’t fatal, and knowing hasn’t helped. Fifty disconfirming instances delivered at the level where the prediction actually lives is what moves it.</w:t>
      </w:r>
    </w:p>
    <w:p>
      <w:pPr>
        <w:pStyle w:val="BodyText"/>
      </w:pPr>
      <w:r>
        <w:t xml:space="preserve">WebMD runs the same architecture on purpose. Feed it one symptom and it hands back the worst diagnosis compatible with the input, every time, with total confidence. The difference is you can close the tab.</w:t>
      </w:r>
    </w:p>
    <w:p>
      <w:pPr>
        <w:pStyle w:val="BodyText"/>
      </w:pPr>
      <w:r>
        <w:t xml:space="preserve">It also predicts a failure mode. Interoceptive exposure done with a concealed safety behavior, gripping the chair or breathing carefully or keeping a phone in hand, should produce less benefit, because the outcome gets attributed to the correction rather than to the falsity of the prediction. That’s standard clinical teaching, and the control account gives the same answer.</w:t>
      </w:r>
    </w:p>
    <w:p>
      <w:r>
        <w:pict>
          <v:rect style="width:0;height:1.5pt" o:hralign="center" o:hrstd="t" o:hr="t"/>
        </w:pict>
      </w:r>
    </w:p>
    <w:p>
      <w:pPr>
        <w:pStyle w:val="Heading2"/>
      </w:pPr>
      <w:bookmarkStart w:id="132" w:name="the-two-dials-clinically"/>
      <w:r>
        <w:t xml:space="preserve">6.5 The two dials, clinically</w:t>
      </w:r>
      <w:bookmarkEnd w:id="132"/>
    </w:p>
    <w:p>
      <w:pPr>
        <w:pStyle w:val="FirstParagraph"/>
      </w:pPr>
      <w:r>
        <w:t xml:space="preserve">Separating observer gain from controller gain produces four intervention families instead of two, and makes visible a distinction that presents identically in the room.</w:t>
      </w:r>
    </w:p>
    <w:p>
      <w:pPr>
        <w:pStyle w:val="BodyText"/>
      </w:pPr>
      <w:r>
        <w:rPr>
          <w:b/>
        </w:rPr>
        <w:t xml:space="preserve">A client with an accurate belief and excessive controller gain needs a different intervention from a client with an inaccurate belief held at excessive precision.</w:t>
      </w:r>
      <w:r>
        <w:t xml:space="preserve"> </w:t>
      </w:r>
      <w:r>
        <w:t xml:space="preserve">Both arrive distressed. Both describe an intense reaction. Both may rate conviction at 80%. Restructuring is close to useless for the first and central for the second. Arousal work is central for the first and a distraction for the second.</w:t>
      </w:r>
    </w:p>
    <w:p>
      <w:pPr>
        <w:pStyle w:val="BodyText"/>
      </w:pPr>
      <w:r>
        <w:t xml:space="preserve">The person whose workplace really is hostile, and who answers a real slight with three days of rumination and a resignation letter, doesn’t have a distorted estimate. They have a correct estimate and a controller that overshoots. Telling them their thought is unbalanced is wrong and costly to the alliance. The target is the size of the corrective response and the damping on it. Reducing controller gain doesn’t mean the response stops. Keith Richards is 82 with arthritis and books a residency instead of a world tour. The output continues. The amplitude comes down.</w:t>
      </w:r>
    </w:p>
    <w:p>
      <w:pPr>
        <w:pStyle w:val="BodyText"/>
      </w:pPr>
      <w:r>
        <w:t xml:space="preserve">The person whose workplace is benign, who is certain it’s hostile, and who has never let contradicting evidence in, has an estimate problem. Arousal regulation will make them more comfortable without touching the model producing the distress.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Target</w:t>
            </w:r>
          </w:p>
        </w:tc>
        <w:tc>
          <w:tcPr>
            <w:tcBorders>
              <w:bottom w:val="single"/>
            </w:tcBorders>
            <w:vAlign w:val="bottom"/>
          </w:tcPr>
          <w:p>
            <w:pPr>
              <w:pStyle w:val="Compact"/>
              <w:jc w:val="left"/>
            </w:pPr>
            <w:r>
              <w:t xml:space="preserve">What it changes</w:t>
            </w:r>
          </w:p>
        </w:tc>
        <w:tc>
          <w:tcPr>
            <w:tcBorders>
              <w:bottom w:val="single"/>
            </w:tcBorders>
            <w:vAlign w:val="bottom"/>
          </w:tcPr>
          <w:p>
            <w:pPr>
              <w:pStyle w:val="Compact"/>
              <w:jc w:val="left"/>
            </w:pPr>
            <w:r>
              <w:t xml:space="preserve">Interventions</w:t>
            </w:r>
          </w:p>
        </w:tc>
        <w:tc>
          <w:tcPr>
            <w:tcBorders>
              <w:bottom w:val="single"/>
            </w:tcBorders>
            <w:vAlign w:val="bottom"/>
          </w:tcPr>
          <w:p>
            <w:pPr>
              <w:pStyle w:val="Compact"/>
              <w:jc w:val="left"/>
            </w:pPr>
            <w:r>
              <w:t xml:space="preserve">Evidence status</w:t>
            </w:r>
          </w:p>
        </w:tc>
      </w:tr>
      <w:tr>
        <w:tc>
          <w:p>
            <w:pPr>
              <w:pStyle w:val="Compact"/>
              <w:jc w:val="left"/>
            </w:pPr>
            <w:r>
              <w:rPr>
                <w:b/>
              </w:rPr>
              <w:t xml:space="preserve">Prior / content</w:t>
            </w:r>
          </w:p>
        </w:tc>
        <w:tc>
          <w:p>
            <w:pPr>
              <w:pStyle w:val="Compact"/>
              <w:jc w:val="left"/>
            </w:pPr>
            <w:r>
              <w:t xml:space="preserve">The expectation being emitted</w:t>
            </w:r>
          </w:p>
        </w:tc>
        <w:tc>
          <w:p>
            <w:pPr>
              <w:pStyle w:val="Compact"/>
              <w:jc w:val="left"/>
            </w:pPr>
            <w:r>
              <w:t xml:space="preserve">Cognitive restructuring, psychoeducation, thought records, narrative and meaning-making work, formulation</w:t>
            </w:r>
          </w:p>
        </w:tc>
        <w:tc>
          <w:p>
            <w:pPr>
              <w:pStyle w:val="Compact"/>
              <w:jc w:val="left"/>
            </w:pPr>
            <w:r>
              <w:t xml:space="preserve">Well-evidenced within CBT packages; not clearly separable from behavioral components in dismantling trials (Ougrin, 2011)</w:t>
            </w:r>
          </w:p>
        </w:tc>
      </w:tr>
      <w:tr>
        <w:tc>
          <w:p>
            <w:pPr>
              <w:pStyle w:val="Compact"/>
              <w:jc w:val="left"/>
            </w:pPr>
            <w:r>
              <w:rPr>
                <w:b/>
              </w:rPr>
              <w:t xml:space="preserve">Observer gain / precision</w:t>
            </w:r>
          </w:p>
        </w:tc>
        <w:tc>
          <w:p>
            <w:pPr>
              <w:pStyle w:val="Compact"/>
              <w:jc w:val="left"/>
            </w:pPr>
            <w:r>
              <w:t xml:space="preserve">The confidence the prediction is held with, independent of content</w:t>
            </w:r>
          </w:p>
        </w:tc>
        <w:tc>
          <w:p>
            <w:pPr>
              <w:pStyle w:val="Compact"/>
              <w:jc w:val="left"/>
            </w:pPr>
            <w:r>
              <w:t xml:space="preserve">Behavioral experiments (Bennett-Levy et al., 2004); exposure designed for expectancy violation (Craske et al., 2014, 2022); attention training and mindfulness as precision allocation (Feldman &amp; Friston, 2010); tolerating uncertainty (Carleton, 2016)</w:t>
            </w:r>
          </w:p>
        </w:tc>
        <w:tc>
          <w:p>
            <w:pPr>
              <w:pStyle w:val="Compact"/>
              <w:jc w:val="left"/>
            </w:pPr>
            <w:r>
              <w:t xml:space="preserve">Exposure and behavioral experiments well-evidenced; the</w:t>
            </w:r>
            <w:r>
              <w:t xml:space="preserve"> </w:t>
            </w:r>
            <w:r>
              <w:rPr>
                <w:i/>
              </w:rPr>
              <w:t xml:space="preserve">precision</w:t>
            </w:r>
            <w:r>
              <w:t xml:space="preserve"> </w:t>
            </w:r>
            <w:r>
              <w:t xml:space="preserve">reading of their mechanism is a reframe, not a finding</w:t>
            </w:r>
          </w:p>
        </w:tc>
      </w:tr>
      <w:tr>
        <w:tc>
          <w:p>
            <w:pPr>
              <w:pStyle w:val="Compact"/>
              <w:jc w:val="left"/>
            </w:pPr>
            <w:r>
              <w:rPr>
                <w:b/>
              </w:rPr>
              <w:t xml:space="preserve">Controller gain</w:t>
            </w:r>
          </w:p>
        </w:tc>
        <w:tc>
          <w:p>
            <w:pPr>
              <w:pStyle w:val="Compact"/>
              <w:jc w:val="left"/>
            </w:pPr>
            <w:r>
              <w:t xml:space="preserve">Intensity of the corrective response, without touching the belief</w:t>
            </w:r>
          </w:p>
        </w:tc>
        <w:tc>
          <w:p>
            <w:pPr>
              <w:pStyle w:val="Compact"/>
              <w:jc w:val="left"/>
            </w:pPr>
            <w:r>
              <w:t xml:space="preserve">Arousal regulation, paced breathing, applied relaxation, DBT distress tolerance skills, medication in some presentations</w:t>
            </w:r>
          </w:p>
        </w:tc>
        <w:tc>
          <w:p>
            <w:pPr>
              <w:pStyle w:val="Compact"/>
              <w:jc w:val="left"/>
            </w:pPr>
            <w:r>
              <w:t xml:space="preserve">Component-level evidence varies;</w:t>
            </w:r>
            <w:r>
              <w:t xml:space="preserve"> </w:t>
            </w:r>
            <w:r>
              <w:t xml:space="preserve">“</w:t>
            </w:r>
            <w:r>
              <w:t xml:space="preserve">reduces controller gain</w:t>
            </w:r>
            <w:r>
              <w:t xml:space="preserve">”</w:t>
            </w:r>
            <w:r>
              <w:t xml:space="preserve"> </w:t>
            </w:r>
            <w:r>
              <w:t xml:space="preserve">is interpretation</w:t>
            </w:r>
          </w:p>
        </w:tc>
      </w:tr>
      <w:tr>
        <w:tc>
          <w:p>
            <w:pPr>
              <w:pStyle w:val="Compact"/>
              <w:jc w:val="left"/>
            </w:pPr>
            <w:r>
              <w:rPr>
                <w:b/>
              </w:rPr>
              <w:t xml:space="preserve">Damping</w:t>
            </w:r>
          </w:p>
        </w:tc>
        <w:tc>
          <w:p>
            <w:pPr>
              <w:pStyle w:val="Compact"/>
              <w:jc w:val="left"/>
            </w:pPr>
            <w:r>
              <w:t xml:space="preserve">Whether corrections converge or oscillate</w:t>
            </w:r>
          </w:p>
        </w:tc>
        <w:tc>
          <w:p>
            <w:pPr>
              <w:pStyle w:val="Compact"/>
              <w:jc w:val="left"/>
            </w:pPr>
            <w:r>
              <w:t xml:space="preserve">Delay (</w:t>
            </w:r>
            <w:r>
              <w:t xml:space="preserve">“</w:t>
            </w:r>
            <w:r>
              <w:t xml:space="preserve">wait ten minutes</w:t>
            </w:r>
            <w:r>
              <w:t xml:space="preserve">”</w:t>
            </w:r>
            <w:r>
              <w:t xml:space="preserve">), urge surfing, response prevention, scheduled worry time, ritual postponement</w:t>
            </w:r>
          </w:p>
        </w:tc>
        <w:tc>
          <w:p>
            <w:pPr>
              <w:pStyle w:val="Compact"/>
              <w:jc w:val="left"/>
            </w:pPr>
            <w:r>
              <w:t xml:space="preserve">Response prevention within ERP well-evidenced for OCD (Öst et al., 2015);</w:t>
            </w:r>
            <w:r>
              <w:t xml:space="preserve"> </w:t>
            </w:r>
            <w:r>
              <w:t xml:space="preserve">“</w:t>
            </w:r>
            <w:r>
              <w:t xml:space="preserve">damping</w:t>
            </w:r>
            <w:r>
              <w:t xml:space="preserve">”</w:t>
            </w:r>
            <w:r>
              <w:t xml:space="preserve"> </w:t>
            </w:r>
            <w:r>
              <w:t xml:space="preserve">is a reframe of the mechanism</w:t>
            </w:r>
          </w:p>
        </w:tc>
      </w:tr>
    </w:tbl>
    <w:p>
      <w:pPr>
        <w:pStyle w:val="BodyText"/>
      </w:pPr>
      <w:r>
        <w:t xml:space="preserve">Three cautions about the table.</w:t>
      </w:r>
    </w:p>
    <w:p>
      <w:pPr>
        <w:pStyle w:val="BodyText"/>
      </w:pPr>
      <w:r>
        <w:rPr>
          <w:b/>
        </w:rPr>
        <w:t xml:space="preserve">The rows aren’t clean.</w:t>
      </w:r>
      <w:r>
        <w:t xml:space="preserve"> </w:t>
      </w:r>
      <w:r>
        <w:t xml:space="preserve">A behavioral experiment changes precision and usually content too. Mindfulness changes attention allocation and also reduces arousal. The rows ask what an intervention is primarily for, not whether it does one job only.</w:t>
      </w:r>
    </w:p>
    <w:p>
      <w:pPr>
        <w:pStyle w:val="BodyText"/>
      </w:pPr>
      <w:r>
        <w:rPr>
          <w:b/>
        </w:rPr>
        <w:t xml:space="preserve">Breathing retraining sits awkwardly.</w:t>
      </w:r>
      <w:r>
        <w:t xml:space="preserve"> </w:t>
      </w:r>
      <w:r>
        <w:t xml:space="preserve">In panic it can function as a safety behavior, a corrective action that removes the error signal and blocks the test. Salkovskis, Clark and Hackmann (1991) reported that cognitive therapy for panic worked without exposure or breathing retraining, which should give pause to anyone reaching for it as a default. Reducing controller gain is useful when the belief is accurate and counterproductive when it becomes the thing preventing disconfirmation.</w:t>
      </w:r>
    </w:p>
    <w:p>
      <w:pPr>
        <w:pStyle w:val="BodyText"/>
      </w:pPr>
      <w:r>
        <w:rPr>
          <w:b/>
        </w:rPr>
        <w:t xml:space="preserve">The assessment question the table implies isn’t one clinicians routinely ask.</w:t>
      </w:r>
      <w:r>
        <w:t xml:space="preserve"> </w:t>
      </w:r>
      <w:r>
        <w:t xml:space="preserve">Standard assessment asks what the client believes and how strongly.</w:t>
      </w:r>
    </w:p>
    <w:p>
      <w:pPr>
        <w:pStyle w:val="BodyText"/>
      </w:pPr>
      <w:r>
        <w:t xml:space="preserve">DON’T stop at:</w:t>
      </w:r>
      <w:r>
        <w:t xml:space="preserve"> </w:t>
      </w:r>
      <w:r>
        <w:t xml:space="preserve">“</w:t>
      </w:r>
      <w:r>
        <w:t xml:space="preserve">What do you believe, and how convinced are you?</w:t>
      </w:r>
      <w:r>
        <w:t xml:space="preserve">”</w:t>
      </w:r>
      <w:r>
        <w:br/>
      </w:r>
      <w:r>
        <w:t xml:space="preserve">ALSO ASK:</w:t>
      </w:r>
      <w:r>
        <w:t xml:space="preserve"> </w:t>
      </w:r>
      <w:r>
        <w:t xml:space="preserve">“</w:t>
      </w:r>
      <w:r>
        <w:t xml:space="preserve">What would it take to change your mind about that?</w:t>
      </w:r>
      <w:r>
        <w:t xml:space="preserve">”</w:t>
      </w:r>
      <w:r>
        <w:t xml:space="preserve"> </w:t>
      </w:r>
      <w:r>
        <w:t xml:space="preserve">(precision).</w:t>
      </w:r>
      <w:r>
        <w:t xml:space="preserve"> </w:t>
      </w:r>
      <w:r>
        <w:t xml:space="preserve">“</w:t>
      </w:r>
      <w:r>
        <w:t xml:space="preserve">What did you do about it?</w:t>
      </w:r>
      <w:r>
        <w:t xml:space="preserve">”</w:t>
      </w:r>
      <w:r>
        <w:t xml:space="preserve"> </w:t>
      </w:r>
      <w:r>
        <w:t xml:space="preserve">(controller gain).</w:t>
      </w:r>
      <w:r>
        <w:t xml:space="preserve"> </w:t>
      </w:r>
      <w:r>
        <w:t xml:space="preserve">“</w:t>
      </w:r>
      <w:r>
        <w:t xml:space="preserve">How many times did you do it?</w:t>
      </w:r>
      <w:r>
        <w:t xml:space="preserve">”</w:t>
      </w:r>
      <w:r>
        <w:t xml:space="preserve"> </w:t>
      </w:r>
      <w:r>
        <w:t xml:space="preserve">(damping).</w:t>
      </w:r>
    </w:p>
    <w:p>
      <w:pPr>
        <w:pStyle w:val="BodyText"/>
      </w:pPr>
      <w:r>
        <w:t xml:space="preserve">All three are answerable inside a clinical interview, and they point at different treatments.</w:t>
      </w:r>
    </w:p>
    <w:p>
      <w:r>
        <w:pict>
          <v:rect style="width:0;height:1.5pt" o:hralign="center" o:hrstd="t" o:hr="t"/>
        </w:pict>
      </w:r>
    </w:p>
    <w:p>
      <w:pPr>
        <w:pStyle w:val="Heading2"/>
      </w:pPr>
      <w:bookmarkStart w:id="133" w:name="X1567251ab51bf42f6847116ded35d1a9a735a6e"/>
      <w:r>
        <w:t xml:space="preserve">6.6 Rumination, worry and compulsions as oscillation</w:t>
      </w:r>
      <w:bookmarkEnd w:id="133"/>
    </w:p>
    <w:p>
      <w:pPr>
        <w:pStyle w:val="FirstParagraph"/>
      </w:pPr>
      <w:r>
        <w:t xml:space="preserve">A control loop with high gain and inadequate damping doesn’t settle. It overshoots, corrects, overshoots the other way, and keeps going. That isn’t a figure of speech borrowed for this chapter. It’s the first thing you learn about feedback control, it’s why damping gets designed into flight control systems deliberately rather than hoped for, and it’s the most satisfying part of this whole analogy. Which is exactly why it needs handling carefully.</w:t>
      </w:r>
    </w:p>
    <w:p>
      <w:pPr>
        <w:pStyle w:val="BodyText"/>
      </w:pPr>
      <w:r>
        <w:t xml:space="preserve">Rumination, worry and compulsive checking share a structure: a repetitive corrective action that never terminates because the error signal is never satisfied. The checker returns to the door because the state estimate,</w:t>
      </w:r>
      <w:r>
        <w:t xml:space="preserve"> </w:t>
      </w:r>
      <w:r>
        <w:rPr>
          <w:i/>
        </w:rPr>
        <w:t xml:space="preserve">the door is locked</w:t>
      </w:r>
      <w:r>
        <w:t xml:space="preserve">, never reaches sufficient confidence. The action is performed, evidence is acquired, the estimate fails to stabilize, and the action repeats.</w:t>
      </w:r>
    </w:p>
    <w:p>
      <w:pPr>
        <w:pStyle w:val="BodyText"/>
      </w:pPr>
      <w:r>
        <w:t xml:space="preserve">Fradkin, Adams, Parr, Roiser and Huppert (2020) built a computational account of OCD along these lines. Symptoms are modeled as arising from excessive uncertainty about</w:t>
      </w:r>
      <w:r>
        <w:t xml:space="preserve"> </w:t>
      </w:r>
      <w:r>
        <w:rPr>
          <w:i/>
        </w:rPr>
        <w:t xml:space="preserve">state transitions</w:t>
      </w:r>
      <w:r>
        <w:t xml:space="preserve">, whether an action has actually changed the world, rather than from a distorted belief about the world’s contents. If you don’t trust that turning the key changed the lock’s state, no amount of looking resolves the doubt, because looking is itself an action whose effect on your knowledge you also don’t fully trust. The loop can’t converge, because what is uncertain is the loop’s own effect.</w:t>
      </w:r>
    </w:p>
    <w:p>
      <w:pPr>
        <w:pStyle w:val="BodyText"/>
      </w:pPr>
      <w:r>
        <w:t xml:space="preserve">That’s a far more precise claim than</w:t>
      </w:r>
      <w:r>
        <w:t xml:space="preserve"> </w:t>
      </w:r>
      <w:r>
        <w:t xml:space="preserve">“</w:t>
      </w:r>
      <w:r>
        <w:t xml:space="preserve">OCD patients are anxious about germs,</w:t>
      </w:r>
      <w:r>
        <w:t xml:space="preserve">”</w:t>
      </w:r>
      <w:r>
        <w:t xml:space="preserve"> </w:t>
      </w:r>
      <w:r>
        <w:t xml:space="preserve">and it maps onto the damping question. The magnitude of the error isn’t the problem. The corrective action doesn’t reliably reduce it.</w:t>
      </w:r>
    </w:p>
    <w:p>
      <w:pPr>
        <w:pStyle w:val="BodyText"/>
      </w:pPr>
      <w:r>
        <w:t xml:space="preserve">Watkins and Roberts (2020) review rumination as a transdiagnostic vulnerability with several maintaining mechanisms: habit formation, executive control, abstract processing style, goal discrepancies, negative bias. Their account is richer than</w:t>
      </w:r>
      <w:r>
        <w:t xml:space="preserve"> </w:t>
      </w:r>
      <w:r>
        <w:t xml:space="preserve">“</w:t>
      </w:r>
      <w:r>
        <w:t xml:space="preserve">poor damping</w:t>
      </w:r>
      <w:r>
        <w:t xml:space="preserve">”</w:t>
      </w:r>
      <w:r>
        <w:t xml:space="preserve"> </w:t>
      </w:r>
      <w:r>
        <w:t xml:space="preserve">and should be the primary source. The control reading adds only this much, that goal-discrepancy-driven repetitive thought has the shape of an unstable loop, an error signal the corrective action can’t close, because thinking about a discrepancy doesn’t resolve it.</w:t>
      </w:r>
    </w:p>
    <w:p>
      <w:pPr>
        <w:pStyle w:val="Heading3"/>
      </w:pPr>
      <w:bookmarkStart w:id="134" w:name="Xa876eae183c7f5d73337cd508237a413d2f7d29"/>
      <w:r>
        <w:t xml:space="preserve">Why</w:t>
      </w:r>
      <w:r>
        <w:t xml:space="preserve"> </w:t>
      </w:r>
      <w:r>
        <w:t xml:space="preserve">“</w:t>
      </w:r>
      <w:r>
        <w:t xml:space="preserve">not acting</w:t>
      </w:r>
      <w:r>
        <w:t xml:space="preserve">”</w:t>
      </w:r>
      <w:r>
        <w:t xml:space="preserve"> </w:t>
      </w:r>
      <w:r>
        <w:t xml:space="preserve">is therapeutic in control terms</w:t>
      </w:r>
      <w:bookmarkEnd w:id="134"/>
    </w:p>
    <w:p>
      <w:pPr>
        <w:pStyle w:val="FirstParagraph"/>
      </w:pPr>
      <w:r>
        <w:t xml:space="preserve">Response prevention is the part of ERP that clients hate and clinicians sometimes soft-pedal. The control reading gives it a clean rationale. Adding damping to an oscillating loop means reducing how quickly and forcefully the system acts on error, and doing nothing is the maximal case. Two things follow. The oscillation stops, because the repeated action was sustaining it. And the prediction finally gets tested, because the error signal persists long enough to be checked against reality instead of against the ritual.</w:t>
      </w:r>
    </w:p>
    <w:p>
      <w:pPr>
        <w:pStyle w:val="BodyText"/>
      </w:pPr>
      <w:r>
        <w:t xml:space="preserve">The outcome data support the practice, though not this explanation of it. Öst, Havnen, Hansen and Kvale (2015) meta-analyzed 37 randomized trials of CBT for OCD published 1993–2014 and found very large effect sizes against waiting list (1.31) and placebo (1.33), significant superiority over antidepressant medication (0.55), and no significant difference between exposure and response prevention and cognitive therapy (0.07) or between individual and group delivery (0.17). The authors flag methodological problems across the trial set.</w:t>
      </w:r>
    </w:p>
    <w:p>
      <w:pPr>
        <w:pStyle w:val="BodyText"/>
      </w:pPr>
      <w:r>
        <w:t xml:space="preserve">That last comparison should temper any strong claim. If ERP and cognitive therapy for OCD produce equivalent outcomes, a model explaining ERP’s mechanism hasn’t thereby explained OCD treatment. Whatever is doing the work is reachable through both routes.</w:t>
      </w:r>
    </w:p>
    <w:p>
      <w:pPr>
        <w:pStyle w:val="BodyText"/>
      </w:pPr>
      <w:r>
        <w:t xml:space="preserve">The same reasoning underwrites urge surfing, worry postponement and the instruction to wait before acting. Each one inserts delay between error detection and corrective action, which is damping in control terms. Whether that’s why they help isn’t established.</w:t>
      </w:r>
    </w:p>
    <w:p>
      <w:r>
        <w:pict>
          <v:rect style="width:0;height:1.5pt" o:hralign="center" o:hrstd="t" o:hr="t"/>
        </w:pict>
      </w:r>
    </w:p>
    <w:p>
      <w:pPr>
        <w:pStyle w:val="Heading2"/>
      </w:pPr>
      <w:bookmarkStart w:id="135" w:name="explaining-the-model-to-clients"/>
      <w:r>
        <w:t xml:space="preserve">6.7 Explaining the model TO clients</w:t>
      </w:r>
      <w:bookmarkEnd w:id="135"/>
    </w:p>
    <w:p>
      <w:pPr>
        <w:pStyle w:val="FirstParagraph"/>
      </w:pPr>
      <w:r>
        <w:t xml:space="preserve">Three explanations follow that a therapist can say aloud. They’re written as speech rather than prose, because speech is what has to survive contact with a room.</w:t>
      </w:r>
    </w:p>
    <w:p>
      <w:pPr>
        <w:pStyle w:val="Heading3"/>
      </w:pPr>
      <w:bookmarkStart w:id="136" w:name="the-thermostat-1"/>
      <w:r>
        <w:t xml:space="preserve">The thermostat</w:t>
      </w:r>
      <w:bookmarkEnd w:id="136"/>
    </w:p>
    <w:p>
      <w:pPr>
        <w:pStyle w:val="BlockText"/>
      </w:pPr>
      <w:r>
        <w:t xml:space="preserve">"A thermostat has two jobs. Work out what the temperature actually is, then decide how hard to run the heating. If the sensor reads five degrees cold, the room ends up too hot — and the heating isn’t broken. It’s doing exactly what it should, with bad information.</w:t>
      </w:r>
    </w:p>
    <w:p>
      <w:pPr>
        <w:pStyle w:val="BlockText"/>
      </w:pPr>
      <w:r>
        <w:t xml:space="preserve">Most of what we’re doing here is checking two separate things. Is your reading accurate? And when it says there’s a problem, how hard does your system respond? Different questions, different answers."</w:t>
      </w:r>
    </w:p>
    <w:p>
      <w:pPr>
        <w:pStyle w:val="FirstParagraph"/>
      </w:pPr>
      <w:r>
        <w:rPr>
          <w:b/>
        </w:rPr>
        <w:t xml:space="preserve">What it does well:</w:t>
      </w:r>
      <w:r>
        <w:t xml:space="preserve"> </w:t>
      </w:r>
      <w:r>
        <w:t xml:space="preserve">it separates estimate from response without jargon, and it takes blame off the response. The heating isn’t malfunctioning. That’s often the sentence a client needs.</w:t>
      </w:r>
    </w:p>
    <w:p>
      <w:pPr>
        <w:pStyle w:val="BodyText"/>
      </w:pPr>
      <w:r>
        <w:rPr>
          <w:b/>
        </w:rPr>
        <w:t xml:space="preserve">Where it breaks:</w:t>
      </w:r>
      <w:r>
        <w:t xml:space="preserve"> </w:t>
      </w:r>
      <w:r>
        <w:t xml:space="preserve">thermostats don’t learn, and the entire point of the clinical model is that this system learns and can be got to learn again. Use it for the two-part structure, then drop it before the client asks whether they’re a machine.</w:t>
      </w:r>
    </w:p>
    <w:p>
      <w:pPr>
        <w:pStyle w:val="Heading3"/>
      </w:pPr>
      <w:bookmarkStart w:id="137" w:name="the-smoke-alarm"/>
      <w:r>
        <w:t xml:space="preserve">The smoke alarm</w:t>
      </w:r>
      <w:bookmarkEnd w:id="137"/>
    </w:p>
    <w:p>
      <w:pPr>
        <w:pStyle w:val="BlockText"/>
      </w:pPr>
      <w:r>
        <w:t xml:space="preserve">"You’ve got a smoke alarm that goes off when you make toast. It is not a stupid alarm. It was set that sensitive for a reason — at some point, in your house, there really were fires. The setting was correct then.</w:t>
      </w:r>
    </w:p>
    <w:p>
      <w:pPr>
        <w:pStyle w:val="BlockText"/>
      </w:pPr>
      <w:r>
        <w:t xml:space="preserve">It hasn’t been reset since, and every time it goes off you run out of the house before you can see whether there was a fire. So it never gets the information that would let it recalibrate. It’s not that you’re overreacting. It’s that the alarm has never had the chance to find out."</w:t>
      </w:r>
    </w:p>
    <w:p>
      <w:pPr>
        <w:pStyle w:val="FirstParagraph"/>
      </w:pPr>
      <w:r>
        <w:rPr>
          <w:b/>
        </w:rPr>
        <w:t xml:space="preserve">What it does well:</w:t>
      </w:r>
      <w:r>
        <w:t xml:space="preserve"> </w:t>
      </w:r>
      <w:r>
        <w:t xml:space="preserve">it locates the origin of the belief in real experience, which is usually true and usually a relief, and it makes the avoidance point without accusing anyone of avoiding.</w:t>
      </w:r>
    </w:p>
    <w:p>
      <w:pPr>
        <w:pStyle w:val="BodyText"/>
      </w:pPr>
      <w:r>
        <w:rPr>
          <w:b/>
        </w:rPr>
        <w:t xml:space="preserve">Where it breaks, and this one matters.</w:t>
      </w:r>
      <w:r>
        <w:t xml:space="preserve"> </w:t>
      </w:r>
      <w:r>
        <w:t xml:space="preserve">The framing implies the danger isn’t real, which is exactly wrong for clients whose situations</w:t>
      </w:r>
      <w:r>
        <w:t xml:space="preserve"> </w:t>
      </w:r>
      <w:r>
        <w:rPr>
          <w:i/>
        </w:rPr>
        <w:t xml:space="preserve">are</w:t>
      </w:r>
      <w:r>
        <w:t xml:space="preserve"> </w:t>
      </w:r>
      <w:r>
        <w:t xml:space="preserve">dangerous. NEVER use it with someone in an ongoing abusive relationship, an unsafe workplace, or a community where their fear is well calibrated. For those clients the alarm is correct and the work is elsewhere. Get this wrong and you have told a person that their accurate perception of danger is a malfunction.</w:t>
      </w:r>
    </w:p>
    <w:p>
      <w:pPr>
        <w:pStyle w:val="BodyText"/>
      </w:pPr>
      <w:r>
        <w:t xml:space="preserve">It also implies a single global sensitivity setting, when the clinical reality is domain-specific: exquisitely sensitive at work, fine at home. If the client raises that, take it seriously instead of defending the analogy.</w:t>
      </w:r>
    </w:p>
    <w:p>
      <w:pPr>
        <w:pStyle w:val="Heading3"/>
      </w:pPr>
      <w:bookmarkStart w:id="138" w:name="why-avoiding-prevents-updating"/>
      <w:r>
        <w:t xml:space="preserve">Why avoiding prevents updating</w:t>
      </w:r>
      <w:bookmarkEnd w:id="138"/>
    </w:p>
    <w:p>
      <w:pPr>
        <w:pStyle w:val="BlockText"/>
      </w:pPr>
      <w:r>
        <w:t xml:space="preserve">"Every time you leave the meeting early, nothing bad happens — and your mind files it as</w:t>
      </w:r>
      <w:r>
        <w:t xml:space="preserve"> </w:t>
      </w:r>
      <w:r>
        <w:rPr>
          <w:i/>
        </w:rPr>
        <w:t xml:space="preserve">nothing bad happened because I left early</w:t>
      </w:r>
      <w:r>
        <w:t xml:space="preserve">. That’s a reasonable conclusion from the evidence you gave it. You just never ran the test you needed.</w:t>
      </w:r>
    </w:p>
    <w:p>
      <w:pPr>
        <w:pStyle w:val="BlockText"/>
      </w:pPr>
      <w:r>
        <w:t xml:space="preserve">The test is: stay, and find out. Not because staying will feel better — it probably won’t, the first several times. It’s the only version of the experiment that can produce new information. Right now your prediction has never once been allowed to be wrong."</w:t>
      </w:r>
    </w:p>
    <w:p>
      <w:pPr>
        <w:pStyle w:val="FirstParagraph"/>
      </w:pPr>
      <w:r>
        <w:rPr>
          <w:b/>
        </w:rPr>
        <w:t xml:space="preserve">What it does well:</w:t>
      </w:r>
      <w:r>
        <w:t xml:space="preserve"> </w:t>
      </w:r>
      <w:r>
        <w:t xml:space="preserve">it reframes exposure as evidence gathering rather than endurance. The endurance framing sets up</w:t>
      </w:r>
      <w:r>
        <w:t xml:space="preserve"> </w:t>
      </w:r>
      <w:r>
        <w:t xml:space="preserve">“</w:t>
      </w:r>
      <w:r>
        <w:t xml:space="preserve">how long until the anxiety drops?</w:t>
      </w:r>
      <w:r>
        <w:t xml:space="preserve">”</w:t>
      </w:r>
      <w:r>
        <w:t xml:space="preserve"> </w:t>
      </w:r>
      <w:r>
        <w:t xml:space="preserve">as the measure of success, and that’s precisely the index the inhibitory learning model says to abandon (Craske et al., 2014).</w:t>
      </w:r>
    </w:p>
    <w:p>
      <w:pPr>
        <w:pStyle w:val="Heading3"/>
      </w:pPr>
      <w:bookmarkStart w:id="139" w:name="X9aa6f7d10e8cf2ea738f109e51c857f7f050c4d"/>
      <w:r>
        <w:t xml:space="preserve">On telling clients their belief is not stupidity</w:t>
      </w:r>
      <w:bookmarkEnd w:id="139"/>
    </w:p>
    <w:p>
      <w:pPr>
        <w:pStyle w:val="FirstParagraph"/>
      </w:pPr>
      <w:r>
        <w:t xml:space="preserve">Worth saying explicitly, and early. A maladaptive belief in this model isn’t a cognitive error or a failure of reasoning. It’s a well-fitted model of experiences that actually happened, held at a confidence level appropriate to those experiences, applied to a present that no longer matches.</w:t>
      </w:r>
    </w:p>
    <w:p>
      <w:pPr>
        <w:pStyle w:val="BodyText"/>
      </w:pPr>
      <w:r>
        <w:t xml:space="preserve">Clients hear our vocabulary more accurately than we like. Here is what lands.</w:t>
      </w:r>
    </w:p>
    <w:p>
      <w:pPr>
        <w:pStyle w:val="BodyText"/>
      </w:pPr>
      <w:r>
        <w:t xml:space="preserve">“</w:t>
      </w:r>
      <w:r>
        <w:t xml:space="preserve">That’s a cognitive distortion.</w:t>
      </w:r>
      <w:r>
        <w:t xml:space="preserve">”</w:t>
      </w:r>
      <w:r>
        <w:t xml:space="preserve"> </w:t>
      </w:r>
      <w:r>
        <w:t xml:space="preserve">→ You think badly.</w:t>
      </w:r>
      <w:r>
        <w:br/>
      </w:r>
      <w:r>
        <w:t xml:space="preserve">“</w:t>
      </w:r>
      <w:r>
        <w:t xml:space="preserve">That’s an unhelpful thinking style.</w:t>
      </w:r>
      <w:r>
        <w:t xml:space="preserve">”</w:t>
      </w:r>
      <w:r>
        <w:t xml:space="preserve"> </w:t>
      </w:r>
      <w:r>
        <w:t xml:space="preserve">→ You think badly, politely.</w:t>
      </w:r>
      <w:r>
        <w:br/>
      </w:r>
      <w:r>
        <w:t xml:space="preserve">“</w:t>
      </w:r>
      <w:r>
        <w:t xml:space="preserve">Let’s challenge that thought.</w:t>
      </w:r>
      <w:r>
        <w:t xml:space="preserve">”</w:t>
      </w:r>
      <w:r>
        <w:t xml:space="preserve"> </w:t>
      </w:r>
      <w:r>
        <w:t xml:space="preserve">→ I’m about to argue with you and I intend to win.</w:t>
      </w:r>
      <w:r>
        <w:br/>
      </w:r>
      <w:r>
        <w:t xml:space="preserve">“</w:t>
      </w:r>
      <w:r>
        <w:t xml:space="preserve">Your model was accurate, and it’s now over-confident.</w:t>
      </w:r>
      <w:r>
        <w:t xml:space="preserve">”</w:t>
      </w:r>
      <w:r>
        <w:t xml:space="preserve"> </w:t>
      </w:r>
      <w:r>
        <w:t xml:space="preserve">→ What happened to you was real, and the only open question is the calibration.</w:t>
      </w:r>
    </w:p>
    <w:p>
      <w:pPr>
        <w:pStyle w:val="BodyText"/>
      </w:pPr>
      <w:r>
        <w:t xml:space="preserve">DON’T say:</w:t>
      </w:r>
      <w:r>
        <w:t xml:space="preserve"> </w:t>
      </w:r>
      <w:r>
        <w:t xml:space="preserve">“</w:t>
      </w:r>
      <w:r>
        <w:t xml:space="preserve">That’s a cognitive distortion.</w:t>
      </w:r>
      <w:r>
        <w:t xml:space="preserve">”</w:t>
      </w:r>
      <w:r>
        <w:br/>
      </w:r>
      <w:r>
        <w:t xml:space="preserve">SAY:</w:t>
      </w:r>
      <w:r>
        <w:t xml:space="preserve"> </w:t>
      </w:r>
      <w:r>
        <w:t xml:space="preserve">“</w:t>
      </w:r>
      <w:r>
        <w:t xml:space="preserve">Your model was accurate. It’s over-confident now.</w:t>
      </w:r>
      <w:r>
        <w:t xml:space="preserve">”</w:t>
      </w:r>
    </w:p>
    <w:p>
      <w:pPr>
        <w:pStyle w:val="BodyText"/>
      </w:pPr>
      <w:r>
        <w:t xml:space="preserve">The second one is kinder and, under this account, closer to true. It makes the origin of the belief legitimate while leaving its current calibration open to question. You can respect where a belief came from and still test it.</w:t>
      </w:r>
    </w:p>
    <w:p>
      <w:pPr>
        <w:pStyle w:val="Heading3"/>
      </w:pPr>
      <w:bookmarkStart w:id="140" w:name="the-trap"/>
      <w:r>
        <w:t xml:space="preserve">The trap</w:t>
      </w:r>
      <w:bookmarkEnd w:id="140"/>
    </w:p>
    <w:p>
      <w:pPr>
        <w:pStyle w:val="FirstParagraph"/>
      </w:pPr>
      <w:r>
        <w:t xml:space="preserve">A highly verbal client will take the model and turn it into one more thing to think about.</w:t>
      </w:r>
      <w:r>
        <w:t xml:space="preserve"> </w:t>
      </w:r>
      <w:r>
        <w:t xml:space="preserve">“</w:t>
      </w:r>
      <w:r>
        <w:t xml:space="preserve">I think my observer gain is high today</w:t>
      </w:r>
      <w:r>
        <w:t xml:space="preserve">”</w:t>
      </w:r>
      <w:r>
        <w:t xml:space="preserve"> </w:t>
      </w:r>
      <w:r>
        <w:t xml:space="preserve">is not therapy. It’s rumination with better vocabulary, a corrective action that terminates the error signal without testing anything.</w:t>
      </w:r>
    </w:p>
    <w:p>
      <w:pPr>
        <w:pStyle w:val="BodyText"/>
      </w:pPr>
      <w:r>
        <w:t xml:space="preserve">Three guards. Don’t introduce the model to a client whose presenting problem is over-analysis. Don’t spend more than a few minutes on it, because it’s scaffolding for a behavioral experiment and not content in its own right. And if model-language starts showing up in session, say out loud that describing the loop isn’t the same as running the test.</w:t>
      </w:r>
    </w:p>
    <w:p>
      <w:pPr>
        <w:pStyle w:val="BodyText"/>
      </w:pPr>
      <w:r>
        <w:t xml:space="preserve">The model earns its place if it makes a client more willing to run an experiment. If it makes them more interested in the explanation than in the experiment, it has cost you something.</w:t>
      </w:r>
    </w:p>
    <w:p>
      <w:r>
        <w:pict>
          <v:rect style="width:0;height:1.5pt" o:hralign="center" o:hrstd="t" o:hr="t"/>
        </w:pict>
      </w:r>
    </w:p>
    <w:p>
      <w:pPr>
        <w:pStyle w:val="Heading2"/>
      </w:pPr>
      <w:bookmarkStart w:id="141" w:name="autistic-clients-specifically"/>
      <w:r>
        <w:t xml:space="preserve">6.8 Autistic clients specifically</w:t>
      </w:r>
      <w:bookmarkEnd w:id="141"/>
    </w:p>
    <w:p>
      <w:pPr>
        <w:pStyle w:val="FirstParagraph"/>
      </w:pPr>
      <w:r>
        <w:t xml:space="preserve">Several of the adaptations below are already standard practice. What the predictive account contributes is a reason why they’re needed, not a new technique.</w:t>
      </w:r>
    </w:p>
    <w:p>
      <w:pPr>
        <w:pStyle w:val="Heading3"/>
      </w:pPr>
      <w:bookmarkStart w:id="142" w:name="the-evidence-reported-honestly"/>
      <w:r>
        <w:t xml:space="preserve">The evidence, reported honestly</w:t>
      </w:r>
      <w:bookmarkEnd w:id="142"/>
    </w:p>
    <w:p>
      <w:pPr>
        <w:pStyle w:val="FirstParagraph"/>
      </w:pPr>
      <w:r>
        <w:t xml:space="preserve">Adapted CBT for anxiety in autistic people has a real evidence base, and it isn’t uniform.</w:t>
      </w:r>
    </w:p>
    <w:p>
      <w:pPr>
        <w:pStyle w:val="BodyText"/>
      </w:pPr>
      <w:r>
        <w:t xml:space="preserve">Sharma, Hucker, Matthews, Grohmann and Laws (2021) meta-analyzed 19 randomized controlled trials (833 participants; CBT n = 487, controls n = 346) of CBT for anxiety in autistic children and young people. Effect sizes diverged sharply by informant: large for clinician-rated symptoms (g = 0.88, 95% CI 0.55–1.12, k = 11), smaller but significant for parent-report (g = 0.40, 95% CI 0.24–0.56, k = 18), smaller again for child self-report (g = 0.25, 95% CI 0.06–0.43, k = 13). Benefits were</w:t>
      </w:r>
      <w:r>
        <w:t xml:space="preserve"> </w:t>
      </w:r>
      <w:r>
        <w:rPr>
          <w:b/>
        </w:rPr>
        <w:t xml:space="preserve">not maintained at follow-up</w:t>
      </w:r>
      <w:r>
        <w:t xml:space="preserve">. Moderators favored younger children and individual delivery. Using Cochrane Risk of Bias 2, the authors found concerns about reporting bias across most trials.</w:t>
      </w:r>
    </w:p>
    <w:p>
      <w:pPr>
        <w:pStyle w:val="BodyText"/>
      </w:pPr>
      <w:r>
        <w:t xml:space="preserve">Perihan et al. (2020) meta-analyzed 23 studies of CBT for anxiety in children with what the paper terms high-functioning ASD: moderate pooled effect (g = −0.66), larger with parental involvement (g = −0.85) than child-only (g = −0.34), larger for standard-length (g = −1.02) than short-term (g = −0.37) interventions.</w:t>
      </w:r>
    </w:p>
    <w:p>
      <w:pPr>
        <w:pStyle w:val="BodyText"/>
      </w:pPr>
      <w:r>
        <w:t xml:space="preserve">For adults, Weston, Hodgekins and Langdon (2016) reviewed 48 studies. For affective disorders: self-report g = 0.24 (non-significant), informant-report g = 0.66, clinician-report g = 0.73. For autism symptoms: self-report g = 0.25 (non-significant), informant-report g = 0.48, clinician-report g = 0.65, task-based g = 0.35. Sensitivity analyses reduced most of these, and the authors concluded that definitive trials are still needed.</w:t>
      </w:r>
    </w:p>
    <w:p>
      <w:pPr>
        <w:pStyle w:val="BodyText"/>
      </w:pPr>
      <w:r>
        <w:t xml:space="preserve">Russell et al. (2013) randomized 46 adolescents and adults with autism and comorbid OCD to CBT or a matched anxiety-management control. Both worked: within-group effect sizes 1.01 for CBT and 0.60 for anxiety management, more responders in the CBT arm (45% versus 20%), but</w:t>
      </w:r>
      <w:r>
        <w:t xml:space="preserve"> </w:t>
      </w:r>
      <w:r>
        <w:rPr>
          <w:b/>
        </w:rPr>
        <w:t xml:space="preserve">no statistically significant between-group difference</w:t>
      </w:r>
      <w:r>
        <w:t xml:space="preserve">. Self-rated improvement was small in both arms (0.33 and −0.05).</w:t>
      </w:r>
    </w:p>
    <w:p>
      <w:pPr>
        <w:pStyle w:val="BodyText"/>
      </w:pPr>
      <w:r>
        <w:rPr>
          <w:b/>
        </w:rPr>
        <w:t xml:space="preserve">Read that pattern carefully.</w:t>
      </w:r>
      <w:r>
        <w:t xml:space="preserve"> </w:t>
      </w:r>
      <w:r>
        <w:t xml:space="preserve">Across four syntheses, the effect is consistently largest when a clinician rates it and smallest, often non-significant, when the autistic person rates it themselves. That could mean autistic clients underestimate their gains, or that observers overestimate them, or that the measures miss what changed. Anyone who tells you which is guessing. The honest summary: adapted CBT for anxiety in autistic people has moderate support at end of treatment, weak evidence of maintenance, and a systematic discrepancy by informant.</w:t>
      </w:r>
    </w:p>
    <w:p>
      <w:pPr>
        <w:pStyle w:val="BodyText"/>
      </w:pPr>
      <w:r>
        <w:t xml:space="preserve">For mindfulness, Hartley, Dorstyn and Due (2019) pooled 10 studies (233 autistic children and adults, 241 caregivers) and found significant post-intervention gains in subjective wellbeing, apparently maintained at three months, while noting that more controlled research is needed. Promising rather than settled.</w:t>
      </w:r>
    </w:p>
    <w:p>
      <w:pPr>
        <w:pStyle w:val="Heading3"/>
      </w:pPr>
      <w:bookmarkStart w:id="143" w:name="literalness"/>
      <w:r>
        <w:t xml:space="preserve">Literalness</w:t>
      </w:r>
      <w:bookmarkEnd w:id="143"/>
    </w:p>
    <w:p>
      <w:pPr>
        <w:pStyle w:val="FirstParagraph"/>
      </w:pPr>
      <w:r>
        <w:t xml:space="preserve">Every analogy in 6.5 is a liability. A client who processes the thermostat or the smoke alarm literally may leave believing you said their brain is a machine, or that their fear is false.</w:t>
      </w:r>
    </w:p>
    <w:p>
      <w:pPr>
        <w:pStyle w:val="BodyText"/>
      </w:pPr>
      <w:r>
        <w:t xml:space="preserve">Adjustments. Say the thing without the metaphor first, then offer the metaphor as an optional aid and check what landed. Avoid stacked analogies. Be exact about degree:</w:t>
      </w:r>
      <w:r>
        <w:t xml:space="preserve"> </w:t>
      </w:r>
      <w:r>
        <w:t xml:space="preserve">“</w:t>
      </w:r>
      <w:r>
        <w:t xml:space="preserve">this will probably feel uncomfortable for the first ten to fifteen minutes</w:t>
      </w:r>
      <w:r>
        <w:t xml:space="preserve">”</w:t>
      </w:r>
      <w:r>
        <w:t xml:space="preserve"> </w:t>
      </w:r>
      <w:r>
        <w:t xml:space="preserve">is usable,</w:t>
      </w:r>
      <w:r>
        <w:t xml:space="preserve"> </w:t>
      </w:r>
      <w:r>
        <w:t xml:space="preserve">“</w:t>
      </w:r>
      <w:r>
        <w:t xml:space="preserve">it’ll get easier</w:t>
      </w:r>
      <w:r>
        <w:t xml:space="preserve">”</w:t>
      </w:r>
      <w:r>
        <w:t xml:space="preserve"> </w:t>
      </w:r>
      <w:r>
        <w:t xml:space="preserve">is not. Write the prediction and the outcome down, because a written record is a better error signal than a remembered impression, and it removes the demand to reconstruct an emotional state from memory.</w:t>
      </w:r>
    </w:p>
    <w:p>
      <w:pPr>
        <w:pStyle w:val="Heading3"/>
      </w:pPr>
      <w:bookmarkStart w:id="144" w:name="Xeaab86a6807c07e4c8e85b325308d40e4aa3f6d"/>
      <w:r>
        <w:t xml:space="preserve">Interoceptive differences and alexithymia as a confound</w:t>
      </w:r>
      <w:bookmarkEnd w:id="144"/>
    </w:p>
    <w:p>
      <w:pPr>
        <w:pStyle w:val="FirstParagraph"/>
      </w:pPr>
      <w:r>
        <w:t xml:space="preserve">This adaptation is substantial, because it undercuts a core CBT procedure.</w:t>
      </w:r>
    </w:p>
    <w:p>
      <w:pPr>
        <w:pStyle w:val="BodyText"/>
      </w:pPr>
      <w:r>
        <w:t xml:space="preserve">Kinnaird, Stewart and Tchanturia (2019) meta-analyzed alexithymia in autism using the Toronto Alexithymia Scale across 15 studies and found roughly 50% prevalence in autistic samples (49.93%) against 4.89% in neurotypical comparison groups. Common, not universal, and on their reading a subgroup with specific clinical needs rather than a defining feature of autism.</w:t>
      </w:r>
    </w:p>
    <w:p>
      <w:pPr>
        <w:pStyle w:val="BodyText"/>
      </w:pPr>
      <w:r>
        <w:t xml:space="preserve">The interoception picture is less clear than it’s commonly asserted to be. Klein, Witthöft and Jungmann (2025) reviewed 31 studies and meta-analyzed the five adult studies with comparable measures, finding</w:t>
      </w:r>
      <w:r>
        <w:t xml:space="preserve"> </w:t>
      </w:r>
      <w:r>
        <w:rPr>
          <w:b/>
        </w:rPr>
        <w:t xml:space="preserve">no significant difference</w:t>
      </w:r>
      <w:r>
        <w:t xml:space="preserve"> </w:t>
      </w:r>
      <w:r>
        <w:t xml:space="preserve">in cardiac interoceptive accuracy between autistic adults and neurotypical controls (μ̂ = −0.21, SE = 0.11, p = .06). Anyone claiming autistic interoception is straightforwardly impaired is ahead of the data.</w:t>
      </w:r>
    </w:p>
    <w:p>
      <w:pPr>
        <w:pStyle w:val="BodyText"/>
      </w:pPr>
      <w:r>
        <w:t xml:space="preserve">The clinical implication doesn’t depend on resolving that. Standard CBT asks the client to identify an emotion, rate its intensity, locate the bodily sensations, and link them to a thought. For a client with marked alexithymia that isn’t a therapeutic task. It’s an assessment of a capacity they may not have, handed over as homework. Failure then gets misread as resistance or as lack of insight.</w:t>
      </w:r>
    </w:p>
    <w:p>
      <w:pPr>
        <w:pStyle w:val="BodyText"/>
      </w:pPr>
      <w:r>
        <w:t xml:space="preserve">Workarounds. Shift from emotion labels to observable behavior and situation, so</w:t>
      </w:r>
      <w:r>
        <w:t xml:space="preserve"> </w:t>
      </w:r>
      <w:r>
        <w:t xml:space="preserve">“</w:t>
      </w:r>
      <w:r>
        <w:t xml:space="preserve">what did you do next?</w:t>
      </w:r>
      <w:r>
        <w:t xml:space="preserve">”</w:t>
      </w:r>
      <w:r>
        <w:t xml:space="preserve"> </w:t>
      </w:r>
      <w:r>
        <w:t xml:space="preserve">rather than</w:t>
      </w:r>
      <w:r>
        <w:t xml:space="preserve"> </w:t>
      </w:r>
      <w:r>
        <w:t xml:space="preserve">“</w:t>
      </w:r>
      <w:r>
        <w:t xml:space="preserve">what did you feel?</w:t>
      </w:r>
      <w:r>
        <w:t xml:space="preserve">”</w:t>
      </w:r>
      <w:r>
        <w:t xml:space="preserve"> </w:t>
      </w:r>
      <w:r>
        <w:t xml:space="preserve">Use physiological or contextual anchors instead of introspective ones. Accept a coarse binary, tolerable or not tolerable, instead of a 0–100 scale. Allow written or asynchronous reporting. And take seriously that a client may know their behavior changed without being able to name the feeling. That is usable clinical data. Don’t spend six sessions converting it into an emotion word.</w:t>
      </w:r>
    </w:p>
    <w:p>
      <w:pPr>
        <w:pStyle w:val="Heading3"/>
      </w:pPr>
      <w:bookmarkStart w:id="145" w:name="Xce8342ea4511e9da9e297fd31cc42b980867f28"/>
      <w:r>
        <w:t xml:space="preserve">The risk of treating a sensory-regulatory need as a maladaptive behavior</w:t>
      </w:r>
      <w:bookmarkEnd w:id="145"/>
    </w:p>
    <w:p>
      <w:pPr>
        <w:pStyle w:val="FirstParagraph"/>
      </w:pPr>
      <w:r>
        <w:t xml:space="preserve">This is the most serious avoidable harm in the section.</w:t>
      </w:r>
    </w:p>
    <w:p>
      <w:pPr>
        <w:pStyle w:val="BodyText"/>
      </w:pPr>
      <w:r>
        <w:t xml:space="preserve">A safety behavior, in the model, is a corrective action that removes an error signal without permitting a test. Repetitive movement, ear defenders, leaving a loud room, a fixed routine: these superficially resemble avoidance, and a clinician working from an anxiety protocol will be tempted to target them. Some of them aren’t avoidance of a feared outcome at all. They’re direct regulation of a genuinely aversive sensory environment. The distinction is the one drawn in 6.3.</w:t>
      </w:r>
      <w:r>
        <w:t xml:space="preserve"> </w:t>
      </w:r>
      <w:r>
        <w:rPr>
          <w:b/>
        </w:rPr>
        <w:t xml:space="preserve">Is the estimate wrong, or is it accurate and the response proportionate to a real input?</w:t>
      </w:r>
      <w:r>
        <w:t xml:space="preserve"> </w:t>
      </w:r>
      <w:r>
        <w:t xml:space="preserve">If a fluorescent-lit open-plan office is actually painful for this person, leaving it is a correct response to a correct estimate, and applying response prevention asks someone to endure pain in order to disconfirm a prediction that happens to be true.</w:t>
      </w:r>
    </w:p>
    <w:p>
      <w:pPr>
        <w:pStyle w:val="BodyText"/>
      </w:pPr>
      <w:r>
        <w:t xml:space="preserve">The test before targeting any behavior:</w:t>
      </w:r>
      <w:r>
        <w:t xml:space="preserve"> </w:t>
      </w:r>
      <w:r>
        <w:rPr>
          <w:i/>
        </w:rPr>
        <w:t xml:space="preserve">what prediction is this action preventing from being tested, and is that prediction false?</w:t>
      </w:r>
      <w:r>
        <w:t xml:space="preserve"> </w:t>
      </w:r>
      <w:r>
        <w:t xml:space="preserve">If you can’t name a false prediction, you aren’t looking at a safety behavior. Leave it alone.</w:t>
      </w:r>
    </w:p>
    <w:p>
      <w:pPr>
        <w:pStyle w:val="Heading3"/>
      </w:pPr>
      <w:bookmarkStart w:id="146" w:name="Xef1f145ac60565d253428d3d1167e4a60fe9bb6"/>
      <w:r>
        <w:t xml:space="preserve">Why environmental predictability may do more than restructuring</w:t>
      </w:r>
      <w:bookmarkEnd w:id="146"/>
    </w:p>
    <w:p>
      <w:pPr>
        <w:pStyle w:val="FirstParagraph"/>
      </w:pPr>
      <w:r>
        <w:t xml:space="preserve">Van de Cruys et al. (2014) proposed that autism involves inflexibly high precision on prediction errors, errors treated as more informative than they should be, so the system keeps trying to explain noise. Under that account an unpredictable environment isn’t merely unpleasant. It’s a continuous stream of high-weighted errors demanding resolution. Reducing that unpredictability through stable routines, advance notice of change, explicit agendas, consistent sensory conditions, and clear rules rather than inferred social ones cuts the error load at source, where restructuring adjusts the interpretation of a stream still arriving at full volume.</w:t>
      </w:r>
    </w:p>
    <w:p>
      <w:pPr>
        <w:pStyle w:val="BodyText"/>
      </w:pPr>
      <w:r>
        <w:rPr>
          <w:b/>
        </w:rPr>
        <w:t xml:space="preserve">This is speculation and should be labeled as such in any clinical conversation.</w:t>
      </w:r>
      <w:r>
        <w:t xml:space="preserve"> </w:t>
      </w:r>
      <w:r>
        <w:t xml:space="preserve">The mechanistic argument is coherent. The comparative claim, that predictability work outperforms restructuring for autistic clients, has never been tested head to head. What can be said with more confidence is that the practitioners surveyed by Spain et al. (2023) in a three-round Delphi study identified a range of accommodations needed to make CBT acceptable and effective for autistic clients. Expert consensus, not trial evidence.</w:t>
      </w:r>
    </w:p>
    <w:p>
      <w:pPr>
        <w:pStyle w:val="BodyText"/>
      </w:pPr>
      <w:r>
        <w:t xml:space="preserve">A defensible position: treat environmental predictability as a first-line target alongside standard CBT components rather than instead of them, and don’t assume a client who improves when their environment stabilizes has had a cognitive change.</w:t>
      </w:r>
    </w:p>
    <w:p>
      <w:r>
        <w:pict>
          <v:rect style="width:0;height:1.5pt" o:hralign="center" o:hrstd="t" o:hr="t"/>
        </w:pict>
      </w:r>
    </w:p>
    <w:p>
      <w:pPr>
        <w:pStyle w:val="Heading2"/>
      </w:pPr>
      <w:bookmarkStart w:id="147" w:name="what-this-does-not-license"/>
      <w:r>
        <w:t xml:space="preserve">6.9 What this does NOT license</w:t>
      </w:r>
      <w:bookmarkEnd w:id="147"/>
    </w:p>
    <w:p>
      <w:pPr>
        <w:pStyle w:val="FirstParagraph"/>
      </w:pPr>
      <w:r>
        <w:t xml:space="preserve">The preceding pages are a way of thinking. They aren’t a warrant for anything, and the distance between those two things needs stating plainly.</w:t>
      </w:r>
    </w:p>
    <w:p>
      <w:pPr>
        <w:pStyle w:val="BodyText"/>
      </w:pPr>
      <w:r>
        <w:rPr>
          <w:b/>
        </w:rPr>
        <w:t xml:space="preserve">No outcome trial has tested this model.</w:t>
      </w:r>
      <w:r>
        <w:t xml:space="preserve"> </w:t>
      </w:r>
      <w:r>
        <w:t xml:space="preserve">Every effect size reported here belongs to an existing, independently developed treatment: CBT, exposure, ERP, adapted CBT for autistic clients. None of them was derived from a control-theoretic account, and none of them validates one. The evidence supports the treatments and says nothing at all about the explanation offered here for why they work.</w:t>
      </w:r>
    </w:p>
    <w:p>
      <w:pPr>
        <w:pStyle w:val="BodyText"/>
      </w:pPr>
      <w:r>
        <w:rPr>
          <w:b/>
        </w:rPr>
        <w:t xml:space="preserve">Nobody has shown that explaining this model to clients improves outcomes.</w:t>
      </w:r>
      <w:r>
        <w:t xml:space="preserve"> </w:t>
      </w:r>
      <w:r>
        <w:t xml:space="preserve">The language in 6.5 exists because clinicians asked for something sayable. It has never been compared against another explanation, or against giving none. It might help. It might waste session time. It might hand the wrong client a framework for intellectualizing. There’s no data either way, and a clinician using it is running an uncontrolled experiment on their own caseload.</w:t>
      </w:r>
    </w:p>
    <w:p>
      <w:pPr>
        <w:pStyle w:val="BodyText"/>
      </w:pPr>
      <w:r>
        <w:rPr>
          <w:b/>
        </w:rPr>
        <w:t xml:space="preserve">It doesn’t justify new techniques.</w:t>
      </w:r>
      <w:r>
        <w:t xml:space="preserve"> </w:t>
      </w:r>
      <w:r>
        <w:t xml:space="preserve">If a technique follows from the model but has no independent evidence, the model is not evidence for it. This is where mechanistic reframes historically go wrong. The account feels explanatory, a procedure gets derived from it, and the coherence of the account gets mistaken for support for the procedure. Every intervention in the 6.3 table has its own evidence base or lacks one, and the model changes neither.</w:t>
      </w:r>
    </w:p>
    <w:p>
      <w:pPr>
        <w:pStyle w:val="BodyText"/>
      </w:pPr>
      <w:r>
        <w:rPr>
          <w:b/>
        </w:rPr>
        <w:t xml:space="preserve">Do not present it to clients as established neuroscience.</w:t>
      </w:r>
      <w:r>
        <w:t xml:space="preserve"> </w:t>
      </w:r>
      <w:r>
        <w:t xml:space="preserve">Predictive processing is a live and contested research framework, not settled fact, and precision-weighting in clinical anxiety is an inference rather than a measurement. Saying</w:t>
      </w:r>
      <w:r>
        <w:t xml:space="preserve"> </w:t>
      </w:r>
      <w:r>
        <w:t xml:space="preserve">“</w:t>
      </w:r>
      <w:r>
        <w:t xml:space="preserve">your brain is doing Bayesian inference</w:t>
      </w:r>
      <w:r>
        <w:t xml:space="preserve">”</w:t>
      </w:r>
      <w:r>
        <w:t xml:space="preserve"> </w:t>
      </w:r>
      <w:r>
        <w:t xml:space="preserve">asserts more than anyone knows, and it makes the therapist’s authority the reason for believing it. Use it as a way of thinking,</w:t>
      </w:r>
      <w:r>
        <w:t xml:space="preserve"> </w:t>
      </w:r>
      <w:r>
        <w:t xml:space="preserve">“</w:t>
      </w:r>
      <w:r>
        <w:t xml:space="preserve">one way to look at this is…</w:t>
      </w:r>
      <w:r>
        <w:t xml:space="preserve">”</w:t>
      </w:r>
      <w:r>
        <w:t xml:space="preserve">, and drop it the moment it stops helping.</w:t>
      </w:r>
    </w:p>
    <w:p>
      <w:pPr>
        <w:pStyle w:val="BodyText"/>
      </w:pPr>
      <w:r>
        <w:rPr>
          <w:b/>
        </w:rPr>
        <w:t xml:space="preserve">It doesn’t replace formulation.</w:t>
      </w:r>
      <w:r>
        <w:t xml:space="preserve"> </w:t>
      </w:r>
      <w:r>
        <w:t xml:space="preserve">A control diagram contains no history, no relationships, no meaning, and no account of what the person wants. Treat it as the formulation and you strip out most of what makes a formulation useful.</w:t>
      </w:r>
    </w:p>
    <w:p>
      <w:pPr>
        <w:pStyle w:val="Heading3"/>
      </w:pPr>
      <w:bookmarkStart w:id="148" w:name="Xeaf00b01c89d5e5e2f8946f909674e0651d8175"/>
      <w:r>
        <w:t xml:space="preserve">What would need to be true for this to earn clinical status</w:t>
      </w:r>
      <w:bookmarkEnd w:id="148"/>
    </w:p>
    <w:p>
      <w:pPr>
        <w:pStyle w:val="FirstParagraph"/>
      </w:pPr>
      <w:r>
        <w:t xml:space="preserve">Four things, in rough order of tractability:</w:t>
      </w:r>
    </w:p>
    <w:p>
      <w:pPr>
        <w:numPr>
          <w:ilvl w:val="0"/>
          <w:numId w:val="1002"/>
        </w:numPr>
        <w:pStyle w:val="Compact"/>
      </w:pPr>
      <w:r>
        <w:rPr>
          <w:b/>
        </w:rPr>
        <w:t xml:space="preserve">A measure of precision separable from conviction.</w:t>
      </w:r>
      <w:r>
        <w:t xml:space="preserve"> </w:t>
      </w:r>
      <w:r>
        <w:t xml:space="preserve">How movable a belief is, independent of where it currently sits, with evidence that it behaves differently from a 0–100 conviction rating.</w:t>
      </w:r>
    </w:p>
    <w:p>
      <w:pPr>
        <w:numPr>
          <w:ilvl w:val="0"/>
          <w:numId w:val="1002"/>
        </w:numPr>
        <w:pStyle w:val="Compact"/>
      </w:pPr>
      <w:r>
        <w:rPr>
          <w:b/>
        </w:rPr>
        <w:t xml:space="preserve">Prospective prediction.</w:t>
      </w:r>
      <w:r>
        <w:t xml:space="preserve"> </w:t>
      </w:r>
      <w:r>
        <w:t xml:space="preserve">That measure, taken at baseline, should predict who responds to belief-focused versus exposure-focused work. If it doesn’t predict differential response, the distinction isn’t clinically real however elegant it looks.</w:t>
      </w:r>
    </w:p>
    <w:p>
      <w:pPr>
        <w:numPr>
          <w:ilvl w:val="0"/>
          <w:numId w:val="1002"/>
        </w:numPr>
        <w:pStyle w:val="Compact"/>
      </w:pPr>
      <w:r>
        <w:rPr>
          <w:b/>
        </w:rPr>
        <w:t xml:space="preserve">Dissociation of the two gains in humans.</w:t>
      </w:r>
      <w:r>
        <w:t xml:space="preserve"> </w:t>
      </w:r>
      <w:r>
        <w:t xml:space="preserve">Evidence that observer gain and controller gain can be independently manipulated and measured in a clinical sample. Without this, the two-dial framing is a heuristic and not a mechanism.</w:t>
      </w:r>
    </w:p>
    <w:p>
      <w:pPr>
        <w:numPr>
          <w:ilvl w:val="0"/>
          <w:numId w:val="1002"/>
        </w:numPr>
        <w:pStyle w:val="Compact"/>
      </w:pPr>
      <w:r>
        <w:rPr>
          <w:b/>
        </w:rPr>
        <w:t xml:space="preserve">A treatment-selection trial.</w:t>
      </w:r>
      <w:r>
        <w:t xml:space="preserve"> </w:t>
      </w:r>
      <w:r>
        <w:t xml:space="preserve">Clients allocated by gain profile versus allocated as usual, outcomes compared. This is the only test that would make the model clinically consequential rather than merely coherent.</w:t>
      </w:r>
    </w:p>
    <w:p>
      <w:pPr>
        <w:pStyle w:val="FirstParagraph"/>
      </w:pPr>
      <w:r>
        <w:t xml:space="preserve">Until at least the first two exist, the correct claim is narrow. This organizes things clinicians already do, it may sharpen the choice between them, and it may be wrong.</w:t>
      </w:r>
    </w:p>
    <w:p>
      <w:r>
        <w:pict>
          <v:rect style="width:0;height:1.5pt" o:hralign="center" o:hrstd="t" o:hr="t"/>
        </w:pict>
      </w:r>
    </w:p>
    <w:p>
      <w:r>
        <w:br w:type="page"/>
      </w:r>
    </w:p>
    <w:p>
      <w:pPr>
        <w:pStyle w:val="Heading1"/>
      </w:pPr>
      <w:bookmarkStart w:id="149" w:name="conclusions-and-applications"/>
      <w:r>
        <w:t xml:space="preserve">7. Conclusions and applications</w:t>
      </w:r>
      <w:bookmarkEnd w:id="149"/>
    </w:p>
    <w:p>
      <w:pPr>
        <w:pStyle w:val="Heading2"/>
      </w:pPr>
      <w:bookmarkStart w:id="150" w:name="the-claim-on-one-page"/>
      <w:r>
        <w:t xml:space="preserve">7.1 The claim, on one page</w:t>
      </w:r>
      <w:bookmarkEnd w:id="150"/>
    </w:p>
    <w:p>
      <w:pPr>
        <w:pStyle w:val="FirstParagraph"/>
      </w:pPr>
      <w:r>
        <w:t xml:space="preserve">A biological control system regulates variables it can’t measure directly. It has to estimate them, and the estimate is a weighted blend of what it expected and what it sensed.</w:t>
      </w:r>
    </w:p>
    <w:p>
      <w:pPr>
        <w:pStyle w:val="BodyText"/>
      </w:pPr>
      <w:r>
        <w:t xml:space="preserve">Four parameters govern what happens next.</w:t>
      </w:r>
    </w:p>
    <w:p>
      <w:pPr>
        <w:pStyle w:val="BodyText"/>
      </w:pPr>
      <w:r>
        <w:rPr>
          <w:b/>
        </w:rPr>
        <w:t xml:space="preserve">Observer gain</w:t>
      </w:r>
      <w:r>
        <w:t xml:space="preserve"> </w:t>
      </w:r>
      <w:r>
        <w:t xml:space="preserve">sets how much the senses move the estimate relative to expectation.</w:t>
      </w:r>
      <w:r>
        <w:t xml:space="preserve"> </w:t>
      </w:r>
      <w:r>
        <w:rPr>
          <w:b/>
        </w:rPr>
        <w:t xml:space="preserve">Controller gain</w:t>
      </w:r>
      <w:r>
        <w:t xml:space="preserve"> </w:t>
      </w:r>
      <w:r>
        <w:t xml:space="preserve">sets how forcefully the system acts on the gap between that estimate and its set point.</w:t>
      </w:r>
      <w:r>
        <w:t xml:space="preserve"> </w:t>
      </w:r>
      <w:r>
        <w:rPr>
          <w:b/>
        </w:rPr>
        <w:t xml:space="preserve">Damping</w:t>
      </w:r>
      <w:r>
        <w:t xml:space="preserve"> </w:t>
      </w:r>
      <w:r>
        <w:t xml:space="preserve">decides whether corrections settle or overshoot.</w:t>
      </w:r>
      <w:r>
        <w:t xml:space="preserve"> </w:t>
      </w:r>
      <w:r>
        <w:rPr>
          <w:b/>
        </w:rPr>
        <w:t xml:space="preserve">Delay</w:t>
      </w:r>
      <w:r>
        <w:t xml:space="preserve"> </w:t>
      </w:r>
      <w:r>
        <w:t xml:space="preserve">decides how stale the information driving each correction already is.</w:t>
      </w:r>
    </w:p>
    <w:p>
      <w:pPr>
        <w:pStyle w:val="BodyText"/>
      </w:pPr>
      <w:r>
        <w:t xml:space="preserve">All four are learned, from the statistics of the environment the person actually lived in. Volatility teaches observer gain. Consequence teaches controller gain. Overshoot teaches damping. Demand moves the set point.</w:t>
      </w:r>
    </w:p>
    <w:p>
      <w:pPr>
        <w:pStyle w:val="BodyText"/>
      </w:pPr>
      <w:r>
        <w:t xml:space="preserve">Emotion is the error signal in that system, computed on an inference rather than a measurement. Which is why emotion responds to reframing at all, and why it so reliably fails to respond enough.</w:t>
      </w:r>
    </w:p>
    <w:p>
      <w:pPr>
        <w:pStyle w:val="BodyText"/>
      </w:pPr>
      <w:r>
        <w:t xml:space="preserve">The autism application proposes that some autistic presentations involve an over-gained, under-damped loop, with repetitive behavior as the oscillatory signature and sensory-perceptual differences sitting on the observer side.</w:t>
      </w:r>
    </w:p>
    <w:p>
      <w:pPr>
        <w:pStyle w:val="BodyText"/>
      </w:pPr>
      <w:r>
        <w:t xml:space="preserve">The clinical application proposes that a learning history sets a prior, the prior generates a prediction, the prediction determines the error, high gain drives an intense corrective action, and the action prevents the disconfirmation that would have revised the prior.</w:t>
      </w:r>
    </w:p>
    <w:p>
      <w:pPr>
        <w:pStyle w:val="Heading2"/>
      </w:pPr>
      <w:bookmarkStart w:id="151" w:name="four-questions-this-hands-you"/>
      <w:r>
        <w:t xml:space="preserve">7.2 Four questions this hands you</w:t>
      </w:r>
      <w:bookmarkEnd w:id="151"/>
    </w:p>
    <w:p>
      <w:pPr>
        <w:pStyle w:val="FirstParagraph"/>
      </w:pPr>
      <w:r>
        <w:t xml:space="preserve">The practical yield isn’t a technique. It’s a set of questions that separate presentations which look identical from across the room.</w:t>
      </w:r>
    </w:p>
    <w:p>
      <w:pPr>
        <w:pStyle w:val="BodyText"/>
      </w:pPr>
      <w:r>
        <w:rPr>
          <w:b/>
        </w:rPr>
        <w:t xml:space="preserve">Is this belief inaccurate, or is it accurate and being acted on too hard?</w:t>
      </w:r>
      <w:r>
        <w:t xml:space="preserve"> </w:t>
      </w:r>
      <w:r>
        <w:t xml:space="preserve">A client whose read of a situation is broadly correct but whose response runs at four times the required force needs something different from a client whose read is distorted. Cognitive restructuring addresses the second and does very little for the first. The first one needs work on the intensity of the response. Arousal regulation, distress tolerance, deliberate delay.</w:t>
      </w:r>
    </w:p>
    <w:p>
      <w:pPr>
        <w:pStyle w:val="BodyText"/>
      </w:pPr>
      <w:r>
        <w:rPr>
          <w:b/>
        </w:rPr>
        <w:t xml:space="preserve">Is the belief wrong, or is it held with too much confidence?</w:t>
      </w:r>
      <w:r>
        <w:t xml:space="preserve"> </w:t>
      </w:r>
      <w:r>
        <w:t xml:space="preserve">Content and confidence come apart. A moderately accurate belief held with total certainty behaves worse than a somewhat inaccurate belief held loosely, because certainty blocks updating. Behavioral experiments work on confidence rather than content. Which is exactly why they outperform argument.</w:t>
      </w:r>
    </w:p>
    <w:p>
      <w:pPr>
        <w:pStyle w:val="BodyText"/>
      </w:pPr>
      <w:r>
        <w:rPr>
          <w:b/>
        </w:rPr>
        <w:t xml:space="preserve">Is the person failing to update, or being prevented from updating?</w:t>
      </w:r>
      <w:r>
        <w:t xml:space="preserve"> </w:t>
      </w:r>
      <w:r>
        <w:t xml:space="preserve">Avoidance and safety behavior stop the error signal from ever being generated. The prior isn’t stubborn. It’s starved.</w:t>
      </w:r>
    </w:p>
    <w:p>
      <w:pPr>
        <w:pStyle w:val="BodyText"/>
      </w:pPr>
      <w:r>
        <w:rPr>
          <w:b/>
        </w:rPr>
        <w:t xml:space="preserve">What environment taught this setting, and does that environment still exist?</w:t>
      </w:r>
      <w:r>
        <w:t xml:space="preserve"> </w:t>
      </w:r>
      <w:r>
        <w:t xml:space="preserve">Almost every maladaptive parameter was adaptive somewhere. Naming the environment that taught the setting is usually more useful than disputing the setting, and it’s a great deal less adversarial.</w:t>
      </w:r>
    </w:p>
    <w:p>
      <w:pPr>
        <w:pStyle w:val="Heading2"/>
      </w:pPr>
      <w:bookmarkStart w:id="152" w:name="where-it-applies"/>
      <w:r>
        <w:t xml:space="preserve">7.3 Where it applies</w:t>
      </w:r>
      <w:bookmarkEnd w:id="152"/>
    </w:p>
    <w:p>
      <w:pPr>
        <w:pStyle w:val="FirstParagraph"/>
      </w:pPr>
      <w:r>
        <w:rPr>
          <w:b/>
        </w:rPr>
        <w:t xml:space="preserve">In psychotherapy generally.</w:t>
      </w:r>
      <w:r>
        <w:t xml:space="preserve"> </w:t>
      </w:r>
      <w:r>
        <w:t xml:space="preserve">The model gives you a mechanism story for why exposure and behavioral experiments work. They generate prediction error, and prediction error is the only thing that revises a prior. It also tells you why insight so often doesn’t. And it gives you a non-pejorative account of maladaptive belief as an over-confident model built from real evidence, which most clients accept far more readily than the suggestion that their thinking is distorted.</w:t>
      </w:r>
    </w:p>
    <w:p>
      <w:pPr>
        <w:pStyle w:val="BodyText"/>
      </w:pPr>
      <w:r>
        <w:rPr>
          <w:b/>
        </w:rPr>
        <w:t xml:space="preserve">With autistic clients.</w:t>
      </w:r>
      <w:r>
        <w:t xml:space="preserve"> </w:t>
      </w:r>
      <w:r>
        <w:t xml:space="preserve">The most actionable implication is that predictability and sensory intensity are DIFFERENT VARIABLES and should be intervened on separately. A quiet room that’s unpredictable can be worse than a noisy one that isn’t. It also supplies a mechanistic reason for caution about suppressing stimming. If the behavior is a regulatory output, taking it away without addressing the error it’s correcting leaves the error uncorrected and removes the correction.</w:t>
      </w:r>
    </w:p>
    <w:p>
      <w:pPr>
        <w:pStyle w:val="BodyText"/>
      </w:pPr>
      <w:r>
        <w:t xml:space="preserve">That deserves more than a caution, because most clinicians were trained to treat stimming as a symptom to reduce and were never told what it does. Section 1 has the full first-person record. The short version is that autistic adults describe at least five distinct jobs: regulating arousal in BOTH directions rather than only calming, setting a rhythm the body organizes around, filtering the environment so attention can hold, heading off escalation while the error is still small, and signaling to people who know them that the load is climbing. One participant in Kapp et al. (2019) described the rhythm function better than the literature does, saying a stim</w:t>
      </w:r>
      <w:r>
        <w:t xml:space="preserve"> </w:t>
      </w:r>
      <w:r>
        <w:t xml:space="preserve">“</w:t>
      </w:r>
      <w:r>
        <w:t xml:space="preserve">sort of metronomes everything in your body to sort of go at that speed.</w:t>
      </w:r>
      <w:r>
        <w:t xml:space="preserve">”</w:t>
      </w:r>
      <w:r>
        <w:t xml:space="preserve"> </w:t>
      </w:r>
      <w:r>
        <w:t xml:space="preserve">Another found the early-correction function by accident: it</w:t>
      </w:r>
      <w:r>
        <w:t xml:space="preserve"> </w:t>
      </w:r>
      <w:r>
        <w:t xml:space="preserve">“</w:t>
      </w:r>
      <w:r>
        <w:t xml:space="preserve">actually managed to help me stave off some panic attacks.</w:t>
      </w:r>
      <w:r>
        <w:t xml:space="preserve">”</w:t>
      </w:r>
    </w:p>
    <w:p>
      <w:pPr>
        <w:pStyle w:val="BodyText"/>
      </w:pPr>
      <w:r>
        <w:t xml:space="preserve">Some stims injure, and that’s a real clinical problem. The model’s answer is specific.</w:t>
      </w:r>
      <w:r>
        <w:t xml:space="preserve"> </w:t>
      </w:r>
      <w:r>
        <w:rPr>
          <w:b/>
        </w:rPr>
        <w:t xml:space="preserve">If a stim is causing harm, the target is the harm, not the regulation.</w:t>
      </w:r>
      <w:r>
        <w:t xml:space="preserve"> </w:t>
      </w:r>
      <w:r>
        <w:t xml:space="preserve">Identify what the loop is correcting and supply another output that does the same job. Substitute, don’t subtract.</w:t>
      </w:r>
    </w:p>
    <w:p>
      <w:pPr>
        <w:pStyle w:val="BodyText"/>
      </w:pPr>
      <w:r>
        <w:rPr>
          <w:b/>
        </w:rPr>
        <w:t xml:space="preserve">In formulation.</w:t>
      </w:r>
      <w:r>
        <w:t xml:space="preserve"> </w:t>
      </w:r>
      <w:r>
        <w:t xml:space="preserve">The parameter set works as a scaffold. Which variable is being regulated, toward what set point, using what evidence, held with how much confidence, corrected how hard, and what’s preventing the correction from ever being tested. That’s a more mechanical formulation than most models hand you, and it points at different intervention targets depending on where the answer sits.</w:t>
      </w:r>
    </w:p>
    <w:p>
      <w:pPr>
        <w:pStyle w:val="BodyText"/>
      </w:pPr>
      <w:r>
        <w:rPr>
          <w:b/>
        </w:rPr>
        <w:t xml:space="preserve">In psychoeducation.</w:t>
      </w:r>
      <w:r>
        <w:t xml:space="preserve"> </w:t>
      </w:r>
      <w:r>
        <w:t xml:space="preserve">The thermostat is a good teaching object because everybody already owns one. The extension, a thermostat whose thermometer is guessing, takes about a minute to explain and tends to stick.</w:t>
      </w:r>
    </w:p>
    <w:p>
      <w:pPr>
        <w:pStyle w:val="Heading2"/>
      </w:pPr>
      <w:bookmarkStart w:id="153" w:name="the-limits"/>
      <w:r>
        <w:t xml:space="preserve">7.4 The limits</w:t>
      </w:r>
      <w:bookmarkEnd w:id="153"/>
    </w:p>
    <w:p>
      <w:pPr>
        <w:pStyle w:val="FirstParagraph"/>
      </w:pPr>
      <w:r>
        <w:t xml:space="preserve">This is a mechanistic reframe. It isn’t a treatment, it has no outcome data, and no trial has tested whether explaining it to a client improves anything at all. Use it as a way of thinking about a case. Don’t present it to a client as established neuroscience, and don’t let it license new techniques.</w:t>
      </w:r>
    </w:p>
    <w:p>
      <w:r>
        <w:pict>
          <v:rect style="width:0;height:1.5pt" o:hralign="center" o:hrstd="t" o:hr="t"/>
        </w:pict>
      </w:r>
    </w:p>
    <w:p>
      <w:pPr>
        <w:pStyle w:val="Heading1"/>
      </w:pPr>
      <w:bookmarkStart w:id="154" w:name="where-this-all-falls-apart"/>
      <w:r>
        <w:t xml:space="preserve">8. Where this all falls apart</w:t>
      </w:r>
      <w:bookmarkEnd w:id="154"/>
    </w:p>
    <w:p>
      <w:pPr>
        <w:pStyle w:val="FirstParagraph"/>
      </w:pPr>
      <w:r>
        <w:t xml:space="preserve">Any framework worth using should be examined for how it fails. This one has at least eight ways, and several of them are serious.</w:t>
      </w:r>
    </w:p>
    <w:p>
      <w:pPr>
        <w:pStyle w:val="Heading2"/>
      </w:pPr>
      <w:bookmarkStart w:id="155" w:name="the-flexibility-problem"/>
      <w:r>
        <w:t xml:space="preserve">8.1 The flexibility problem</w:t>
      </w:r>
      <w:bookmarkEnd w:id="155"/>
    </w:p>
    <w:p>
      <w:pPr>
        <w:pStyle w:val="FirstParagraph"/>
      </w:pPr>
      <w:r>
        <w:t xml:space="preserve">A model with free parameters for set point, observer gain, controller gain, damping, delay, and arbitration threshold can be fitted to almost any behavior you like. Run into an unexpected result and there’s always a parameter to adjust. That’s the objection Bowers and Davis (2012) raised against Bayesian modeling generally, that priors, likelihoods and utility functions can be tuned to accommodate any dataset. Adding a control layer makes it worse, not better, because it adds parameters.</w:t>
      </w:r>
    </w:p>
    <w:p>
      <w:pPr>
        <w:pStyle w:val="BodyText"/>
      </w:pPr>
      <w:r>
        <w:t xml:space="preserve">The only defense is committing in advance to which parameter explains which phenomenon, and specifying what result would rule the account out. Easy to state. Hard to hold. Judge this document on whether its predictions are genuinely falsifiable or only look that way.</w:t>
      </w:r>
    </w:p>
    <w:p>
      <w:pPr>
        <w:pStyle w:val="Heading2"/>
      </w:pPr>
      <w:bookmarkStart w:id="156" w:name="Xdae0fac3683556ee5cc3493a3ecdacb485dd737"/>
      <w:r>
        <w:t xml:space="preserve">8.2 The identifiability problem doesn’t go away</w:t>
      </w:r>
      <w:bookmarkEnd w:id="156"/>
    </w:p>
    <w:p>
      <w:pPr>
        <w:pStyle w:val="FirstParagraph"/>
      </w:pPr>
      <w:r>
        <w:t xml:space="preserve">In a Gaussian update only the RATIO of sensory precision to prior precision enters the posterior. A flatter prior and a sharper likelihood produce identical predictions. That has bedeviled the autism literature for fourteen years and it applies here unchanged. For most data,</w:t>
      </w:r>
      <w:r>
        <w:t xml:space="preserve"> </w:t>
      </w:r>
      <w:r>
        <w:t xml:space="preserve">“</w:t>
      </w:r>
      <w:r>
        <w:t xml:space="preserve">they trusted their senses too much</w:t>
      </w:r>
      <w:r>
        <w:t xml:space="preserve">”</w:t>
      </w:r>
      <w:r>
        <w:t xml:space="preserve"> </w:t>
      </w:r>
      <w:r>
        <w:t xml:space="preserve">and</w:t>
      </w:r>
      <w:r>
        <w:t xml:space="preserve"> </w:t>
      </w:r>
      <w:r>
        <w:t xml:space="preserve">“</w:t>
      </w:r>
      <w:r>
        <w:t xml:space="preserve">they held their expectation too loosely</w:t>
      </w:r>
      <w:r>
        <w:t xml:space="preserve">”</w:t>
      </w:r>
      <w:r>
        <w:t xml:space="preserve"> </w:t>
      </w:r>
      <w:r>
        <w:t xml:space="preserve">are the same claim wearing different clothes. Separating them needs paradigms that elicit calibrated confidence alongside estimates, and those almost never get run.</w:t>
      </w:r>
    </w:p>
    <w:p>
      <w:pPr>
        <w:pStyle w:val="Heading2"/>
      </w:pPr>
      <w:bookmarkStart w:id="157" w:name="X255ca7c39b94d01540d6821a6eeb9b654add871"/>
      <w:r>
        <w:t xml:space="preserve">8.3 The autism evidence is reinterpretation, not prediction</w:t>
      </w:r>
      <w:bookmarkEnd w:id="157"/>
    </w:p>
    <w:p>
      <w:pPr>
        <w:pStyle w:val="FirstParagraph"/>
      </w:pPr>
      <w:r>
        <w:t xml:space="preserve">The four findings supporting an over-gained under-damped loop were collected to answer other questions and interpreted in other terms. Reinterpreting existing data is legitimate, and it’s how fields often move. It’s also weaker than predicting a result before you see it, and it’s wide open to selection. Four findings that fit aren’t impressive if there are forty that don’t and nobody counted.</w:t>
      </w:r>
    </w:p>
    <w:p>
      <w:pPr>
        <w:pStyle w:val="BodyText"/>
      </w:pPr>
      <w:r>
        <w:t xml:space="preserve">Nobody counted.</w:t>
      </w:r>
    </w:p>
    <w:p>
      <w:pPr>
        <w:pStyle w:val="Heading2"/>
      </w:pPr>
      <w:bookmarkStart w:id="158" w:name="the-separation-may-not-be-real"/>
      <w:r>
        <w:t xml:space="preserve">8.4 The separation may not be real</w:t>
      </w:r>
      <w:bookmarkEnd w:id="158"/>
    </w:p>
    <w:p>
      <w:pPr>
        <w:pStyle w:val="FirstParagraph"/>
      </w:pPr>
      <w:r>
        <w:t xml:space="preserve">Friston’s argument is that the brain has no cost function outside the generative model, and therefore no separate controller to bolt an estimator onto. Baltieri and Buckley (2020) show what that costs formally: active inference ties the control weight to sensory precision and computes neither gain explicitly. Kennaway (2025) argues from the other direction that the frameworks are fundamentally incompatible.</w:t>
      </w:r>
    </w:p>
    <w:p>
      <w:pPr>
        <w:pStyle w:val="BodyText"/>
      </w:pPr>
      <w:r>
        <w:t xml:space="preserve">If either one is right, the central move in this document is an engineering convenience projected onto a system that doesn’t work that way. The clinical questions in 7.2 would survive it. The mechanistic story behind them would not.</w:t>
      </w:r>
    </w:p>
    <w:p>
      <w:pPr>
        <w:pStyle w:val="Heading2"/>
      </w:pPr>
      <w:bookmarkStart w:id="159" w:name="X6687623b6dd928def15c44a188a02c373e0091d"/>
      <w:r>
        <w:t xml:space="preserve">8.5 It has almost nothing to say about meaning</w:t>
      </w:r>
      <w:bookmarkEnd w:id="159"/>
    </w:p>
    <w:p>
      <w:pPr>
        <w:pStyle w:val="FirstParagraph"/>
      </w:pPr>
      <w:r>
        <w:t xml:space="preserve">Control systems regulate variables. A great deal of what happens in a consulting room is narrative, relationship, identity, moral injury, grief, and the interpretation of a life. Set points and gains don’t reach any of that, and a clinician who adopted this vocabulary as a complete account of the work would be poorer for it.</w:t>
      </w:r>
    </w:p>
    <w:p>
      <w:pPr>
        <w:pStyle w:val="BodyText"/>
      </w:pPr>
      <w:r>
        <w:t xml:space="preserve">This describes a regulatory layer. It isn’t a theory of persons.</w:t>
      </w:r>
    </w:p>
    <w:p>
      <w:pPr>
        <w:pStyle w:val="Heading2"/>
      </w:pPr>
      <w:bookmarkStart w:id="160" w:name="Xc331605baee462c4a5dc4888725dbae71fd53a5"/>
      <w:r>
        <w:t xml:space="preserve">8.6 The autism application risks re-pathologizing</w:t>
      </w:r>
      <w:bookmarkEnd w:id="160"/>
    </w:p>
    <w:p>
      <w:pPr>
        <w:pStyle w:val="FirstParagraph"/>
      </w:pPr>
      <w:r>
        <w:t xml:space="preserve">A model describing autistic regulation as an under-damped loop sits one careless step from describing autistic people as badly tuned. The learning-theoretic framing helps, since parameters are correct solutions to prior environments rather than defects. It doesn’t eliminate the risk.</w:t>
      </w:r>
    </w:p>
    <w:p>
      <w:pPr>
        <w:pStyle w:val="BodyText"/>
      </w:pPr>
      <w:r>
        <w:t xml:space="preserve">Todorova and colleagues (2024) consulted autistic people about a closely related theory and found it captured part of the experience while missing how motivated autistic people are to explore and engage. Any framework built on the assumption that a difference is a mis-setting inherits the question of who decides what the correct setting is. Crippen (2026) argues that predictive-processing accounts stipulate that threshold rather than deriving it, and then read the diagnosis back out of it.</w:t>
      </w:r>
    </w:p>
    <w:p>
      <w:pPr>
        <w:pStyle w:val="Heading2"/>
      </w:pPr>
      <w:bookmarkStart w:id="161" w:name="several-load-bearing-sources-are-weak"/>
      <w:r>
        <w:t xml:space="preserve">8.7 Several load-bearing sources are weak</w:t>
      </w:r>
      <w:bookmarkEnd w:id="161"/>
    </w:p>
    <w:p>
      <w:pPr>
        <w:pStyle w:val="FirstParagraph"/>
      </w:pPr>
      <w:r>
        <w:rPr>
          <w:i/>
        </w:rPr>
        <w:t xml:space="preserve">The Mind in the Wheel</w:t>
      </w:r>
      <w:r>
        <w:t xml:space="preserve"> </w:t>
      </w:r>
      <w:r>
        <w:t xml:space="preserve">is a self-published blog serial with no peer review and essentially no new data. Two of the central papers connecting active inference to classical control are still arXiv preprints. The stimming literature is overwhelmingly qualitative. The sensory integration evidence base shows study quality and positive findings running in opposite directions.</w:t>
      </w:r>
    </w:p>
    <w:p>
      <w:pPr>
        <w:pStyle w:val="BodyText"/>
      </w:pPr>
      <w:r>
        <w:t xml:space="preserve">A synthesis is only as strong as what goes into it, and several of these inputs are not strong.</w:t>
      </w:r>
    </w:p>
    <w:p>
      <w:pPr>
        <w:pStyle w:val="Heading2"/>
      </w:pPr>
      <w:bookmarkStart w:id="162" w:name="nobody-has-tested-any-of-it"/>
      <w:r>
        <w:t xml:space="preserve">8.8 Nobody has tested any of it</w:t>
      </w:r>
      <w:bookmarkEnd w:id="162"/>
    </w:p>
    <w:p>
      <w:pPr>
        <w:pStyle w:val="FirstParagraph"/>
      </w:pPr>
      <w:r>
        <w:t xml:space="preserve">Not the oscillation account of repetitive behavior. Not the phase-locking account of social interaction. Not the observer/controller dissociation. Not the clinical chain.</w:t>
      </w:r>
    </w:p>
    <w:p>
      <w:pPr>
        <w:pStyle w:val="BodyText"/>
      </w:pPr>
      <w:r>
        <w:t xml:space="preserve">This is a framework proposal. Read it that way the whole way through.</w:t>
      </w:r>
    </w:p>
    <w:p>
      <w:r>
        <w:pict>
          <v:rect style="width:0;height:1.5pt" o:hralign="center" o:hrstd="t" o:hr="t"/>
        </w:pict>
      </w:r>
    </w:p>
    <w:p>
      <w:pPr>
        <w:pStyle w:val="Heading1"/>
      </w:pPr>
      <w:bookmarkStart w:id="163" w:name="where-do-we-go-from-here"/>
      <w:r>
        <w:t xml:space="preserve">9. Where do we go from here</w:t>
      </w:r>
      <w:bookmarkEnd w:id="163"/>
    </w:p>
    <w:p>
      <w:pPr>
        <w:pStyle w:val="Heading2"/>
      </w:pPr>
      <w:bookmarkStart w:id="164" w:name="six-studies"/>
      <w:r>
        <w:t xml:space="preserve">9.1 Six studies</w:t>
      </w:r>
      <w:bookmarkEnd w:id="164"/>
    </w:p>
    <w:p>
      <w:pPr>
        <w:pStyle w:val="FirstParagraph"/>
      </w:pPr>
      <w:r>
        <w:rPr>
          <w:b/>
        </w:rPr>
        <w:t xml:space="preserve">Frequency-domain reanalysis of existing motor data.</w:t>
      </w:r>
      <w:r>
        <w:t xml:space="preserve"> </w:t>
      </w:r>
      <w:r>
        <w:t xml:space="preserve">The force-tracking and postural datasets already collected contain what’s needed to tell noise-tracking instability from resonant instability. A resonant peak at a characteristic frequency implicates controller gain and damping. Broadband variance scaling with sensor noise implicates observer gain. No new participants required. This could be run out of existing archives.</w:t>
      </w:r>
    </w:p>
    <w:p>
      <w:pPr>
        <w:pStyle w:val="BodyText"/>
      </w:pPr>
      <w:r>
        <w:rPr>
          <w:b/>
        </w:rPr>
        <w:t xml:space="preserve">Stereotypy as a dependent variable in gain manipulation.</w:t>
      </w:r>
      <w:r>
        <w:t xml:space="preserve"> </w:t>
      </w:r>
      <w:r>
        <w:t xml:space="preserve">The visual-display-gain paradigm already exists and already shows autistic force irregularity worsening as displayed error gets amplified. Nobody has measured repetitive behavior during those sessions. Add that one measure and you test the model’s central prediction directly.</w:t>
      </w:r>
    </w:p>
    <w:p>
      <w:pPr>
        <w:pStyle w:val="BodyText"/>
      </w:pPr>
      <w:r>
        <w:rPr>
          <w:b/>
        </w:rPr>
        <w:t xml:space="preserve">A damping intervention.</w:t>
      </w:r>
      <w:r>
        <w:t xml:space="preserve"> </w:t>
      </w:r>
      <w:r>
        <w:t xml:space="preserve">Introduce lag, smooth the feedback, drop its resolution, then measure stability and repetitive behavior. This model predicts improvement. Every account treating the problem as excess sensory information predicts the opposite. That makes it genuinely discriminating.</w:t>
      </w:r>
    </w:p>
    <w:p>
      <w:pPr>
        <w:pStyle w:val="BodyText"/>
      </w:pPr>
      <w:r>
        <w:rPr>
          <w:b/>
        </w:rPr>
        <w:t xml:space="preserve">The four-condition stimming experiment.</w:t>
      </w:r>
      <w:r>
        <w:t xml:space="preserve"> </w:t>
      </w:r>
      <w:r>
        <w:t xml:space="preserve">Compare naturally chosen stimming against matched non-repetitive movement, against externally imposed rhythmic stimulation, and against stillness, while manipulating environmental predictability. The externally-imposed-rhythm condition is the critical one, because it separates rhythmicity from self-generation and simultaneously pits the phase-locking account against the predictability account. They make opposite predictions about it.</w:t>
      </w:r>
    </w:p>
    <w:p>
      <w:pPr>
        <w:pStyle w:val="BodyText"/>
      </w:pPr>
      <w:r>
        <w:rPr>
          <w:b/>
        </w:rPr>
        <w:t xml:space="preserve">Confidence calibration.</w:t>
      </w:r>
      <w:r>
        <w:t xml:space="preserve"> </w:t>
      </w:r>
      <w:r>
        <w:t xml:space="preserve">Any paradigm eliciting calibrated confidence alongside perceptual estimates separates over-precise sensory evidence from attenuated priors. That’s been the available discriminating test for over a decade and it mostly hasn’t been run.</w:t>
      </w:r>
    </w:p>
    <w:p>
      <w:pPr>
        <w:pStyle w:val="BodyText"/>
      </w:pPr>
      <w:r>
        <w:rPr>
          <w:b/>
        </w:rPr>
        <w:t xml:space="preserve">A clinical dissociation study.</w:t>
      </w:r>
      <w:r>
        <w:t xml:space="preserve"> </w:t>
      </w:r>
      <w:r>
        <w:t xml:space="preserve">If observer gain and controller gain separate in real people, belief accuracy and response intensity should dissociate across clients, and the two subgroups should respond differently to cognitive versus arousal-focused intervention. That’s a testable prediction about treatment matching, and it’s the only claim in here that would change practice if it held.</w:t>
      </w:r>
    </w:p>
    <w:p>
      <w:pPr>
        <w:pStyle w:val="Heading2"/>
      </w:pPr>
      <w:bookmarkStart w:id="165" w:name="what-would-have-to-be-true-first"/>
      <w:r>
        <w:t xml:space="preserve">9.2 What would have to be true first</w:t>
      </w:r>
      <w:bookmarkEnd w:id="165"/>
    </w:p>
    <w:p>
      <w:pPr>
        <w:pStyle w:val="FirstParagraph"/>
      </w:pPr>
      <w:r>
        <w:t xml:space="preserve">Four things, in order.</w:t>
      </w:r>
    </w:p>
    <w:p>
      <w:pPr>
        <w:pStyle w:val="BodyText"/>
      </w:pPr>
      <w:r>
        <w:t xml:space="preserve">The parameters would have to be measurable in individual people with acceptable reliability. Measured differences would have to predict something clinically meaningful that existing measures miss. Intervening on a specific parameter would have to beat treatment as usual. And the whole apparatus would have to survive the discovery that some of its components don’t separate.</w:t>
      </w:r>
    </w:p>
    <w:p>
      <w:pPr>
        <w:pStyle w:val="BodyText"/>
      </w:pPr>
      <w:r>
        <w:t xml:space="preserve">None of that has happened.</w:t>
      </w:r>
    </w:p>
    <w:p>
      <w:pPr>
        <w:pStyle w:val="BodyText"/>
      </w:pPr>
      <w:r>
        <w:t xml:space="preserve">Until it does, this is a way of thinking about a case. Not a tool for treating one.</w:t>
      </w:r>
    </w:p>
    <w:p>
      <w:pPr>
        <w:pStyle w:val="Heading2"/>
      </w:pPr>
      <w:bookmarkStart w:id="166" w:name="whats-worth-doing-now"/>
      <w:r>
        <w:t xml:space="preserve">9.3 What’s worth doing now</w:t>
      </w:r>
      <w:bookmarkEnd w:id="166"/>
    </w:p>
    <w:p>
      <w:pPr>
        <w:pStyle w:val="FirstParagraph"/>
      </w:pPr>
      <w:r>
        <w:t xml:space="preserve">Three things don’t require waiting on any of the above.</w:t>
      </w:r>
    </w:p>
    <w:p>
      <w:pPr>
        <w:pStyle w:val="BodyText"/>
      </w:pPr>
      <w:r>
        <w:t xml:space="preserve">Ask the two questions separately. How confident is this belief, and how hard is this person acting on it. The answers differ, the interventions differ, and asking costs you nothing.</w:t>
      </w:r>
    </w:p>
    <w:p>
      <w:pPr>
        <w:pStyle w:val="BodyText"/>
      </w:pPr>
      <w:r>
        <w:t xml:space="preserve">Treat predictability and intensity as distinct variables when you’re working with sensory distress. Intervene on them separately instead of assuming less stimulation is always the answer.</w:t>
      </w:r>
    </w:p>
    <w:p>
      <w:pPr>
        <w:pStyle w:val="BodyText"/>
      </w:pPr>
      <w:r>
        <w:t xml:space="preserve">And when a regulatory pattern looks maladaptive, ask what environment would have made it correct. That question is usually answerable, usually informative, and it changes the conversation from correction to recognition.</w:t>
      </w:r>
    </w:p>
    <w:p>
      <w:pPr>
        <w:pStyle w:val="Heading2"/>
      </w:pPr>
      <w:bookmarkStart w:id="167" w:name="a-closing-note"/>
      <w:r>
        <w:t xml:space="preserve">9.4 A closing note</w:t>
      </w:r>
      <w:bookmarkEnd w:id="167"/>
    </w:p>
    <w:p>
      <w:pPr>
        <w:pStyle w:val="FirstParagraph"/>
      </w:pPr>
      <w:r>
        <w:t xml:space="preserve">Here’s where I’m supposed to hand you the framework that ties it together and tell you it changes everything.</w:t>
      </w:r>
    </w:p>
    <w:p>
      <w:pPr>
        <w:pStyle w:val="BodyText"/>
      </w:pPr>
      <w:r>
        <w:t xml:space="preserve">I’m not going to.</w:t>
      </w:r>
    </w:p>
    <w:p>
      <w:pPr>
        <w:pStyle w:val="BodyText"/>
      </w:pPr>
      <w:r>
        <w:t xml:space="preserve">This document has argued that a framework’s capacity to absorb findings can outrun its capacity to predict them, and that a theory which grows after every disconfirmation is being protected rather than tested. Those criticisms apply to what I’ve proposed here at least as much as to the literature it reviews.</w:t>
      </w:r>
    </w:p>
    <w:p>
      <w:pPr>
        <w:pStyle w:val="BodyText"/>
      </w:pPr>
      <w:r>
        <w:t xml:space="preserve">The right response to an elegant model isn’t adoption. It’s asking what the thing forbids.</w:t>
      </w:r>
    </w:p>
    <w:p>
      <w:pPr>
        <w:pStyle w:val="BodyText"/>
      </w:pPr>
      <w:r>
        <w:t xml:space="preserve">This one forbids repetitive behavior with no frequency structure. It forbids damping interventions failing while sensory reduction succeeds. It forbids observer and controller differences that never dissociate. It forbids gain manipulations leaving repetitive behavior untouched.</w:t>
      </w:r>
    </w:p>
    <w:p>
      <w:pPr>
        <w:pStyle w:val="BodyText"/>
      </w:pPr>
      <w:r>
        <w:t xml:space="preserve">If those results come in, the model is wrong and should be thrown out rather than patched.</w:t>
      </w:r>
    </w:p>
    <w:p>
      <w:pPr>
        <w:pStyle w:val="BodyText"/>
      </w:pPr>
      <w:r>
        <w:t xml:space="preserve">That’s the standard I’d hold it to. It’s also the standard the existing literature in this area has largely failed to meet, which is most of why I wrote any of this down.</w:t>
      </w:r>
    </w:p>
    <w:p>
      <w:pPr>
        <w:pStyle w:val="Heading1"/>
      </w:pPr>
      <w:bookmarkStart w:id="168" w:name="X11a90bebbd43747882e1b4fd1b045ba0b583ddb"/>
      <w:r>
        <w:t xml:space="preserve">Appendix A. How this differs from</w:t>
      </w:r>
      <w:r>
        <w:t xml:space="preserve"> </w:t>
      </w:r>
      <w:r>
        <w:rPr>
          <w:i/>
        </w:rPr>
        <w:t xml:space="preserve">Psycho-Cybernetics</w:t>
      </w:r>
      <w:bookmarkEnd w:id="168"/>
    </w:p>
    <w:p>
      <w:pPr>
        <w:pStyle w:val="FirstParagraph"/>
      </w:pPr>
      <w:r>
        <w:t xml:space="preserve">Anyone who has spent time in the self-help section will have noticed that a plastic surgeon got to this vocabulary in 1960 and sold more than thirty million copies with it. Maxwell Maltz’s</w:t>
      </w:r>
      <w:r>
        <w:t xml:space="preserve"> </w:t>
      </w:r>
      <w:r>
        <w:rPr>
          <w:i/>
        </w:rPr>
        <w:t xml:space="preserve">Psycho-Cybernetics</w:t>
      </w:r>
      <w:r>
        <w:t xml:space="preserve"> </w:t>
      </w:r>
      <w:r>
        <w:t xml:space="preserve">borrowed Wiener’s engineering language, applied it to the self, and became one of the most influential business and sports psychology books ever written. It deserves a straight answer rather than a sneer, so here it is.</w:t>
      </w:r>
    </w:p>
    <w:p>
      <w:pPr>
        <w:pStyle w:val="BodyText"/>
      </w:pPr>
      <w:r>
        <w:rPr>
          <w:b/>
        </w:rPr>
        <w:t xml:space="preserve">What Maltz got right.</w:t>
      </w:r>
      <w:r>
        <w:t xml:space="preserve"> </w:t>
      </w:r>
      <w:r>
        <w:t xml:space="preserve">His central claim is that behavior organizes itself around a defended reference, and that the reference sets the ceiling rather than effort does. That’s a set point, described in a mass-market paperback a decade before control theory reached clinical psychology in any serious way. He also saw that the system is goal-seeking and self-correcting rather than driven, which is the same insight Powers formalized in 1973. The observation was sound. Coaches have been getting mileage out of it for sixty years for a reason.</w:t>
      </w:r>
    </w:p>
    <w:p>
      <w:pPr>
        <w:pStyle w:val="BodyText"/>
      </w:pPr>
      <w:r>
        <w:rPr>
          <w:b/>
        </w:rPr>
        <w:t xml:space="preserve">What’s missing is the estimator.</w:t>
      </w:r>
      <w:r>
        <w:t xml:space="preserve"> </w:t>
      </w:r>
      <w:r>
        <w:t xml:space="preserve">Maltz has a servo-mechanism and a target and essentially nothing between the world and the target. There is no separate machinery that takes sensory evidence, weighs it against a prior, and produces an estimate that the set point then tracks. Which is precisely the hole this document exists to fill. Without an estimator you cannot distinguish a person whose reading of the situation is wrong from a person whose reading is right and whose response is too large, and that distinction is the entire clinical payload of Section 6. Maltz collapses both into self-image.</w:t>
      </w:r>
    </w:p>
    <w:p>
      <w:pPr>
        <w:pStyle w:val="BodyText"/>
      </w:pPr>
      <w:r>
        <w:t xml:space="preserve">Three further differences follow from that one.</w:t>
      </w:r>
    </w:p>
    <w:p>
      <w:pPr>
        <w:pStyle w:val="BodyText"/>
      </w:pPr>
      <w:r>
        <w:rPr>
          <w:b/>
        </w:rPr>
        <w:t xml:space="preserve">One master set point instead of many.</w:t>
      </w:r>
      <w:r>
        <w:t xml:space="preserve"> </w:t>
      </w:r>
      <w:r>
        <w:t xml:space="preserve">Maltz runs everything through a single global reference, the self-image, and treats it as the thing that determines outcomes across domains. The account here has many parallel governors, each defending its own variable, competing for one body. That’s why a person can be professionally confident and socially terrified at the same time without any contradiction, which a single-self-image model has to explain away.</w:t>
      </w:r>
    </w:p>
    <w:p>
      <w:pPr>
        <w:pStyle w:val="BodyText"/>
      </w:pPr>
      <w:r>
        <w:rPr>
          <w:b/>
        </w:rPr>
        <w:t xml:space="preserve">Set points move on imagination.</w:t>
      </w:r>
      <w:r>
        <w:t xml:space="preserve"> </w:t>
      </w:r>
      <w:r>
        <w:t xml:space="preserve">Maltz’s mechanism of change is mental rehearsal: picture the outcome vividly enough and the servo will steer toward it. Under this account the estimate moves on evidence weighted by precision, which is why visualizing yourself calm at the edge of a roof does close to nothing and standing at the edge of a roof does a great deal. The distinction isn’t academic. It is the difference between a technique with fifty years of outcome trials behind it and a technique without.</w:t>
      </w:r>
    </w:p>
    <w:p>
      <w:pPr>
        <w:pStyle w:val="BodyText"/>
      </w:pPr>
      <w:r>
        <w:rPr>
          <w:b/>
        </w:rPr>
        <w:t xml:space="preserve">There is no evidence base.</w:t>
      </w:r>
      <w:r>
        <w:t xml:space="preserve"> </w:t>
      </w:r>
      <w:r>
        <w:t xml:space="preserve">Maltz worked from case observation, uncontrolled, with no falsification criteria and no way to be wrong. Section 8 of this document lists four ways the model proposed here could be shown false.</w:t>
      </w:r>
      <w:r>
        <w:t xml:space="preserve"> </w:t>
      </w:r>
      <w:r>
        <w:rPr>
          <w:i/>
        </w:rPr>
        <w:t xml:space="preserve">Psycho-Cybernetics</w:t>
      </w:r>
      <w:r>
        <w:t xml:space="preserve"> </w:t>
      </w:r>
      <w:r>
        <w:t xml:space="preserve">offers none, and a system that cannot fail a test is not making a claim about the world.</w:t>
      </w:r>
    </w:p>
    <w:p>
      <w:pPr>
        <w:pStyle w:val="Heading2"/>
      </w:pPr>
      <w:bookmarkStart w:id="169" w:name="the-twenty-one-days"/>
      <w:r>
        <w:t xml:space="preserve">The twenty-one days</w:t>
      </w:r>
      <w:bookmarkEnd w:id="169"/>
    </w:p>
    <w:p>
      <w:pPr>
        <w:pStyle w:val="FirstParagraph"/>
      </w:pPr>
      <w:r>
        <w:t xml:space="preserve">Maltz is also the origin of the most repeated false number in behavior change, and the story is worth telling accurately because it is the same failure this whole document keeps finding in the research literature.</w:t>
      </w:r>
    </w:p>
    <w:p>
      <w:pPr>
        <w:pStyle w:val="BodyText"/>
      </w:pPr>
      <w:r>
        <w:t xml:space="preserve">What Maltz actually wrote is that it requires a minimum of about twenty-one days for an old mental image to dissolve and a new one to jell. He was describing how long his surgical patients took to stop seeing their old face in the mirror, and how long amputees took to stop feeling a limb that was gone. A careful observation about psychological adjustment to a changed body, hedged twice, in the same sentence.</w:t>
      </w:r>
    </w:p>
    <w:p>
      <w:pPr>
        <w:pStyle w:val="BodyText"/>
      </w:pPr>
      <w:r>
        <w:t xml:space="preserve">What got repeated dropped</w:t>
      </w:r>
      <w:r>
        <w:t xml:space="preserve"> </w:t>
      </w:r>
      <w:r>
        <w:t xml:space="preserve">“</w:t>
      </w:r>
      <w:r>
        <w:t xml:space="preserve">minimum,</w:t>
      </w:r>
      <w:r>
        <w:t xml:space="preserve">”</w:t>
      </w:r>
      <w:r>
        <w:t xml:space="preserve"> </w:t>
      </w:r>
      <w:r>
        <w:t xml:space="preserve">dropped</w:t>
      </w:r>
      <w:r>
        <w:t xml:space="preserve"> </w:t>
      </w:r>
      <w:r>
        <w:t xml:space="preserve">“</w:t>
      </w:r>
      <w:r>
        <w:t xml:space="preserve">about,</w:t>
      </w:r>
      <w:r>
        <w:t xml:space="preserve">”</w:t>
      </w:r>
      <w:r>
        <w:t xml:space="preserve"> </w:t>
      </w:r>
      <w:r>
        <w:t xml:space="preserve">and swapped</w:t>
      </w:r>
      <w:r>
        <w:t xml:space="preserve"> </w:t>
      </w:r>
      <w:r>
        <w:t xml:space="preserve">“</w:t>
      </w:r>
      <w:r>
        <w:t xml:space="preserve">mental image</w:t>
      </w:r>
      <w:r>
        <w:t xml:space="preserve">”</w:t>
      </w:r>
      <w:r>
        <w:t xml:space="preserve"> </w:t>
      </w:r>
      <w:r>
        <w:t xml:space="preserve">for</w:t>
      </w:r>
      <w:r>
        <w:t xml:space="preserve"> </w:t>
      </w:r>
      <w:r>
        <w:t xml:space="preserve">“</w:t>
      </w:r>
      <w:r>
        <w:t xml:space="preserve">habit.</w:t>
      </w:r>
      <w:r>
        <w:t xml:space="preserve">”</w:t>
      </w:r>
      <w:r>
        <w:t xml:space="preserve"> </w:t>
      </w:r>
      <w:r>
        <w:t xml:space="preserve">A clinical field note became a law of behavior change, and it is now printed on wall calendars.</w:t>
      </w:r>
    </w:p>
    <w:p>
      <w:pPr>
        <w:pStyle w:val="BodyText"/>
      </w:pPr>
      <w:r>
        <w:t xml:space="preserve">The actual figure comes from Lally, van Jaarsveld, Potts and Wardle (2010), who tracked 96 people adopting a new daily behavior and measured the time to automaticity. The median was 66 days. The range ran from 18 to 254. There is no single number, which is the finding, and any program built on a fixed one is built on a misquotation of a surgeon’s observation about faces.</w:t>
      </w:r>
    </w:p>
    <w:p>
      <w:pPr>
        <w:pStyle w:val="BodyText"/>
      </w:pPr>
      <w:r>
        <w:t xml:space="preserve">Maltz was more careful than the people who cite him. That pattern recurs throughout this document, and on nearly every page of the companion literature review. The damage is almost never done by the person who made the original claim. It is worth noticing that the most durable damage in a field usually isn’t done by the person who made the original claim.</w:t>
      </w:r>
    </w:p>
    <w:p>
      <w:r>
        <w:br w:type="page"/>
      </w:r>
    </w:p>
    <w:p>
      <w:pPr>
        <w:pStyle w:val="Heading1"/>
      </w:pPr>
      <w:bookmarkStart w:id="170" w:name="references"/>
      <w:r>
        <w:t xml:space="preserve">References</w:t>
      </w:r>
      <w:bookmarkEnd w:id="170"/>
    </w:p>
    <w:p>
      <w:pPr>
        <w:pStyle w:val="FirstParagraph"/>
      </w:pPr>
      <w:r>
        <w:rPr>
          <w:i/>
        </w:rPr>
        <w:t xml:space="preserve">173 sources, verified against Crossref, Europe PMC, PubMed or the publisher record.</w:t>
      </w:r>
    </w:p>
    <w:p>
      <w:pPr>
        <w:pStyle w:val="BodyText"/>
      </w:pPr>
      <w:r>
        <w:t xml:space="preserve">Adams, K., Smith, J., Brown, M., Bird, G., &amp; Waite, P. (2025). Experiences of interoception and anxiety in autistic adolescents: A reflexive thematic analysis.</w:t>
      </w:r>
      <w:r>
        <w:t xml:space="preserve"> </w:t>
      </w:r>
      <w:r>
        <w:rPr>
          <w:i/>
        </w:rPr>
        <w:t xml:space="preserve">Autism, 29</w:t>
      </w:r>
      <w:r>
        <w:t xml:space="preserve">(6), 1585–1596. https://doi.org/10.1177/13623613251314595</w:t>
      </w:r>
    </w:p>
    <w:p>
      <w:pPr>
        <w:pStyle w:val="BodyText"/>
      </w:pPr>
      <w:r>
        <w:t xml:space="preserve">Adams, R. A., Stephan, K. E., Brown, H. R., Frith, C. D., &amp; Friston, K. J. (2013). The computational anatomy of psychosis.</w:t>
      </w:r>
      <w:r>
        <w:t xml:space="preserve"> </w:t>
      </w:r>
      <w:r>
        <w:rPr>
          <w:i/>
        </w:rPr>
        <w:t xml:space="preserve">Frontiers in Psychiatry, 4</w:t>
      </w:r>
      <w:r>
        <w:t xml:space="preserve">, 47. https://doi.org/10.3389/fpsyt.2013.00047</w:t>
      </w:r>
    </w:p>
    <w:p>
      <w:pPr>
        <w:pStyle w:val="BodyText"/>
      </w:pPr>
      <w:r>
        <w:t xml:space="preserve">American Psychiatric Association. (2022).</w:t>
      </w:r>
      <w:r>
        <w:t xml:space="preserve"> </w:t>
      </w:r>
      <w:r>
        <w:rPr>
          <w:i/>
        </w:rPr>
        <w:t xml:space="preserve">Diagnostic and statistical manual of mental disorders</w:t>
      </w:r>
      <w:r>
        <w:t xml:space="preserve"> </w:t>
      </w:r>
      <w:r>
        <w:t xml:space="preserve">(5th ed., text rev.). https://doi.org/10.1176/appi.books.9780890425787</w:t>
      </w:r>
    </w:p>
    <w:p>
      <w:pPr>
        <w:pStyle w:val="BodyText"/>
      </w:pPr>
      <w:r>
        <w:t xml:space="preserve">Angeletos Chrysaitis, N., &amp; Seriès, P. (2023). 10 years of Bayesian theories of autism: A comprehensive review.</w:t>
      </w:r>
      <w:r>
        <w:t xml:space="preserve"> </w:t>
      </w:r>
      <w:r>
        <w:rPr>
          <w:i/>
        </w:rPr>
        <w:t xml:space="preserve">Neuroscience &amp; Biobehavioral Reviews, 145</w:t>
      </w:r>
      <w:r>
        <w:t xml:space="preserve">, 105022. https://doi.org/10.1016/j.neubiorev.2022.105022</w:t>
      </w:r>
    </w:p>
    <w:p>
      <w:pPr>
        <w:pStyle w:val="BodyText"/>
      </w:pPr>
      <w:r>
        <w:t xml:space="preserve">Arnold, S. R., Higgins, J. M., Weise, J., Desai, A., Pellicano, E., &amp; Trollor, J. N. (2023). Confirming the nature of autistic burnout.</w:t>
      </w:r>
      <w:r>
        <w:t xml:space="preserve"> </w:t>
      </w:r>
      <w:r>
        <w:rPr>
          <w:i/>
        </w:rPr>
        <w:t xml:space="preserve">Autism, 27</w:t>
      </w:r>
      <w:r>
        <w:t xml:space="preserve">(7), 1906–1918. https://doi.org/10.1177/13623613221147410</w:t>
      </w:r>
    </w:p>
    <w:p>
      <w:pPr>
        <w:pStyle w:val="BodyText"/>
      </w:pPr>
      <w:r>
        <w:t xml:space="preserve">Ashby, W. R. (1952).</w:t>
      </w:r>
      <w:r>
        <w:t xml:space="preserve"> </w:t>
      </w:r>
      <w:r>
        <w:rPr>
          <w:i/>
        </w:rPr>
        <w:t xml:space="preserve">Design for a brain</w:t>
      </w:r>
      <w:r>
        <w:t xml:space="preserve">. Chapman &amp; Hall. https://doi.org/10.5962/bhl.title.6969</w:t>
      </w:r>
    </w:p>
    <w:p>
      <w:pPr>
        <w:pStyle w:val="BodyText"/>
      </w:pPr>
      <w:r>
        <w:t xml:space="preserve">Baltieri, M., &amp; Buckley, C. L. (2020).</w:t>
      </w:r>
      <w:r>
        <w:t xml:space="preserve"> </w:t>
      </w:r>
      <w:r>
        <w:rPr>
          <w:i/>
        </w:rPr>
        <w:t xml:space="preserve">On Kalman-Bucy filters, linear quadratic control and active inference</w:t>
      </w:r>
      <w:r>
        <w:t xml:space="preserve"> </w:t>
      </w:r>
      <w:r>
        <w:t xml:space="preserve">(arXiv:2005.06269) [Preprint]. arXiv. https://arxiv.org/abs/2005.06269</w:t>
      </w:r>
    </w:p>
    <w:p>
      <w:pPr>
        <w:pStyle w:val="BodyText"/>
      </w:pPr>
      <w:r>
        <w:t xml:space="preserve">Barrett, L. F. (2017). The theory of constructed emotion: An active inference account of interoception and categorization.</w:t>
      </w:r>
      <w:r>
        <w:t xml:space="preserve"> </w:t>
      </w:r>
      <w:r>
        <w:rPr>
          <w:i/>
        </w:rPr>
        <w:t xml:space="preserve">Social Cognitive and Affective Neuroscience, 12</w:t>
      </w:r>
      <w:r>
        <w:t xml:space="preserve">(11), 1833. https://doi.org/10.1093/scan/nsx060</w:t>
      </w:r>
    </w:p>
    <w:p>
      <w:pPr>
        <w:pStyle w:val="BodyText"/>
      </w:pPr>
      <w:r>
        <w:t xml:space="preserve">Barrett, L. F., &amp; Simmons, W. K. (2015). Interoceptive predictions in the brain.</w:t>
      </w:r>
      <w:r>
        <w:t xml:space="preserve"> </w:t>
      </w:r>
      <w:r>
        <w:rPr>
          <w:i/>
        </w:rPr>
        <w:t xml:space="preserve">Nature Reviews Neuroscience, 16</w:t>
      </w:r>
      <w:r>
        <w:t xml:space="preserve">(7), 419–429. https://doi.org/10.1038/nrn3950</w:t>
      </w:r>
    </w:p>
    <w:p>
      <w:pPr>
        <w:pStyle w:val="BodyText"/>
      </w:pPr>
      <w:r>
        <w:t xml:space="preserve">Barrett, L. F., Quigley, K. S., &amp; Hamilton, P. (2016). An active inference theory of allostasis and interoception in depression.</w:t>
      </w:r>
      <w:r>
        <w:t xml:space="preserve"> </w:t>
      </w:r>
      <w:r>
        <w:rPr>
          <w:i/>
        </w:rPr>
        <w:t xml:space="preserve">Philosophical Transactions of the Royal Society B: Biological Sciences, 371</w:t>
      </w:r>
      <w:r>
        <w:t xml:space="preserve">(1708), 20160011. https://doi.org/10.1098/rstb.2016.0011</w:t>
      </w:r>
    </w:p>
    <w:p>
      <w:pPr>
        <w:pStyle w:val="BodyText"/>
      </w:pPr>
      <w:r>
        <w:t xml:space="preserve">Beck, A. T., &amp; Haigh, E. A. P. (2014). Advances in cognitive theory and therapy: The generic cognitive model.</w:t>
      </w:r>
      <w:r>
        <w:t xml:space="preserve"> </w:t>
      </w:r>
      <w:r>
        <w:rPr>
          <w:i/>
        </w:rPr>
        <w:t xml:space="preserve">Annual Review of Clinical Psychology, 10</w:t>
      </w:r>
      <w:r>
        <w:t xml:space="preserve">, 1–24. https://doi.org/10.1146/annurev-clinpsy-032813-153734</w:t>
      </w:r>
    </w:p>
    <w:p>
      <w:pPr>
        <w:pStyle w:val="BodyText"/>
      </w:pPr>
      <w:r>
        <w:t xml:space="preserve">Behrens, T. E. J., Woolrich, M. W., Walton, M. E., &amp; Rushworth, M. F. S. (2007). Learning the value of information in an uncertain world.</w:t>
      </w:r>
      <w:r>
        <w:t xml:space="preserve"> </w:t>
      </w:r>
      <w:r>
        <w:rPr>
          <w:i/>
        </w:rPr>
        <w:t xml:space="preserve">Nature Neuroscience, 10</w:t>
      </w:r>
      <w:r>
        <w:t xml:space="preserve">(9), 1214–1221. https://doi.org/10.1038/nn1954</w:t>
      </w:r>
    </w:p>
    <w:p>
      <w:pPr>
        <w:pStyle w:val="BodyText"/>
      </w:pPr>
      <w:r>
        <w:t xml:space="preserve">Beker, S., Foxe, J. J., &amp; Molholm, S. (2021). Oscillatory entrainment mechanisms and anticipatory predictive processes in children with autism spectrum disorder.</w:t>
      </w:r>
      <w:r>
        <w:t xml:space="preserve"> </w:t>
      </w:r>
      <w:r>
        <w:rPr>
          <w:i/>
        </w:rPr>
        <w:t xml:space="preserve">Journal of Neurophysiology, 126</w:t>
      </w:r>
      <w:r>
        <w:t xml:space="preserve">(5), 1783–1798. https://doi.org/10.1152/jn.00329.2021</w:t>
      </w:r>
    </w:p>
    <w:p>
      <w:pPr>
        <w:pStyle w:val="BodyText"/>
      </w:pPr>
      <w:r>
        <w:t xml:space="preserve">Bennett-Levy, J., Butler, G., Fennell, M., Hackmann, A., Mueller, M., &amp; Westbrook, D. (Eds.). (2004).</w:t>
      </w:r>
      <w:r>
        <w:t xml:space="preserve"> </w:t>
      </w:r>
      <w:r>
        <w:rPr>
          <w:i/>
        </w:rPr>
        <w:t xml:space="preserve">Oxford guide to behavioural experiments in cognitive therapy</w:t>
      </w:r>
      <w:r>
        <w:t xml:space="preserve">. Oxford University Press. https://doi.org/10.1093/med:psych/9780198529163.001.0001</w:t>
      </w:r>
    </w:p>
    <w:p>
      <w:pPr>
        <w:pStyle w:val="BodyText"/>
      </w:pPr>
      <w:r>
        <w:t xml:space="preserve">Bloomer, B. F., Bolbecker, A. R., Gildea, E. L., Kennedy, D. P., Wisner, K. M., O’Donnell, B. F., &amp; Hetrick, W. P. (2025). Postural sway dynamics in adults across the autism spectrum: A multifactor approach.</w:t>
      </w:r>
      <w:r>
        <w:t xml:space="preserve"> </w:t>
      </w:r>
      <w:r>
        <w:rPr>
          <w:i/>
        </w:rPr>
        <w:t xml:space="preserve">Molecular Autism, 16</w:t>
      </w:r>
      <w:r>
        <w:t xml:space="preserve">(1), 44. https://doi.org/10.1186/s13229-025-00676-y</w:t>
      </w:r>
    </w:p>
    <w:p>
      <w:pPr>
        <w:pStyle w:val="BodyText"/>
      </w:pPr>
      <w:r>
        <w:t xml:space="preserve">Botha, M., Hanlon, J., &amp; Williams, G. L. (2023). Does language matter? Identity-first versus person-first language use in autism research: A response to Vivanti.</w:t>
      </w:r>
      <w:r>
        <w:t xml:space="preserve"> </w:t>
      </w:r>
      <w:r>
        <w:rPr>
          <w:i/>
        </w:rPr>
        <w:t xml:space="preserve">Journal of Autism and Developmental Disorders, 53</w:t>
      </w:r>
      <w:r>
        <w:t xml:space="preserve">(2), 870–878. https://doi.org/10.1007/s10803-020-04858-w</w:t>
      </w:r>
    </w:p>
    <w:p>
      <w:pPr>
        <w:pStyle w:val="BodyText"/>
      </w:pPr>
      <w:r>
        <w:t xml:space="preserve">Bowers, J. S., &amp; Davis, C. J. (2012). Bayesian just-so stories in psychology and neuroscience.</w:t>
      </w:r>
      <w:r>
        <w:t xml:space="preserve"> </w:t>
      </w:r>
      <w:r>
        <w:rPr>
          <w:i/>
        </w:rPr>
        <w:t xml:space="preserve">Psychological Bulletin, 138</w:t>
      </w:r>
      <w:r>
        <w:t xml:space="preserve">(3), 389–414. https://doi.org/10.1037/a0026450</w:t>
      </w:r>
    </w:p>
    <w:p>
      <w:pPr>
        <w:pStyle w:val="BodyText"/>
      </w:pPr>
      <w:r>
        <w:t xml:space="preserve">Bradley, L., Shaw, R., Baron-Cohen, S., &amp; Cassidy, S. (2021). Autistic adults’ experiences of camouflaging and its perceived impact on mental health.</w:t>
      </w:r>
      <w:r>
        <w:t xml:space="preserve"> </w:t>
      </w:r>
      <w:r>
        <w:rPr>
          <w:i/>
        </w:rPr>
        <w:t xml:space="preserve">Autism in Adulthood, 3</w:t>
      </w:r>
      <w:r>
        <w:t xml:space="preserve">(4), 320–329. https://doi.org/10.1089/aut.2020.0071</w:t>
      </w:r>
    </w:p>
    <w:p>
      <w:pPr>
        <w:pStyle w:val="BodyText"/>
      </w:pPr>
      <w:r>
        <w:t xml:space="preserve">Brown, H., Adams, R. A., Pareés, I., Edwards, M., &amp; Friston, K. (2013). Active inference, sensory attenuation and illusions.</w:t>
      </w:r>
      <w:r>
        <w:t xml:space="preserve"> </w:t>
      </w:r>
      <w:r>
        <w:rPr>
          <w:i/>
        </w:rPr>
        <w:t xml:space="preserve">Cognitive Processing, 14</w:t>
      </w:r>
      <w:r>
        <w:t xml:space="preserve">(4), 411–427. https://doi.org/10.1007/s10339-013-0571-3</w:t>
      </w:r>
    </w:p>
    <w:p>
      <w:pPr>
        <w:pStyle w:val="BodyText"/>
      </w:pPr>
      <w:r>
        <w:t xml:space="preserve">Browning, M., Behrens, T. E., Jocham, G., O’Reilly, J. X., &amp; Bishop, S. J. (2015). Anxious individuals have difficulty learning the causal statistics of aversive environments.</w:t>
      </w:r>
      <w:r>
        <w:t xml:space="preserve"> </w:t>
      </w:r>
      <w:r>
        <w:rPr>
          <w:i/>
        </w:rPr>
        <w:t xml:space="preserve">Nature Neuroscience, 18</w:t>
      </w:r>
      <w:r>
        <w:t xml:space="preserve">(4), 590–596. https://doi.org/10.1038/nn.3961</w:t>
      </w:r>
    </w:p>
    <w:p>
      <w:pPr>
        <w:pStyle w:val="BodyText"/>
      </w:pPr>
      <w:r>
        <w:t xml:space="preserve">Büchel, C., Geuter, S., Sprenger, C., &amp; Eippert, F. (2014). Placebo analgesia: A predictive coding perspective.</w:t>
      </w:r>
      <w:r>
        <w:t xml:space="preserve"> </w:t>
      </w:r>
      <w:r>
        <w:rPr>
          <w:i/>
        </w:rPr>
        <w:t xml:space="preserve">Neuron, 81</w:t>
      </w:r>
      <w:r>
        <w:t xml:space="preserve">(6), 1223–1239. https://doi.org/10.1016/j.neuron.2014.02.042</w:t>
      </w:r>
    </w:p>
    <w:p>
      <w:pPr>
        <w:pStyle w:val="BodyText"/>
      </w:pPr>
      <w:r>
        <w:t xml:space="preserve">Buckle, K. L., Leadbitter, K., Poliakoff, E., &amp; Gowen, E. (2021).</w:t>
      </w:r>
      <w:r>
        <w:t xml:space="preserve"> </w:t>
      </w:r>
      <w:r>
        <w:t xml:space="preserve">“</w:t>
      </w:r>
      <w:r>
        <w:t xml:space="preserve">No way out except from external intervention</w:t>
      </w:r>
      <w:r>
        <w:t xml:space="preserve">”</w:t>
      </w:r>
      <w:r>
        <w:t xml:space="preserve">: First-hand accounts of autistic inertia.</w:t>
      </w:r>
      <w:r>
        <w:t xml:space="preserve"> </w:t>
      </w:r>
      <w:r>
        <w:rPr>
          <w:i/>
        </w:rPr>
        <w:t xml:space="preserve">Frontiers in Psychology, 12</w:t>
      </w:r>
      <w:r>
        <w:t xml:space="preserve">, 631596. https://doi.org/10.3389/fpsyg.2021.631596</w:t>
      </w:r>
    </w:p>
    <w:p>
      <w:pPr>
        <w:pStyle w:val="BodyText"/>
      </w:pPr>
      <w:r>
        <w:t xml:space="preserve">Cage, E., Di Monaco, J., &amp; Newell, V. (2018). Experiences of autism acceptance and mental health in autistic adults.</w:t>
      </w:r>
      <w:r>
        <w:t xml:space="preserve"> </w:t>
      </w:r>
      <w:r>
        <w:rPr>
          <w:i/>
        </w:rPr>
        <w:t xml:space="preserve">Journal of Autism and Developmental Disorders, 48</w:t>
      </w:r>
      <w:r>
        <w:t xml:space="preserve">(2), 473–484. https://doi.org/10.1007/s10803-017-3342-7</w:t>
      </w:r>
    </w:p>
    <w:p>
      <w:pPr>
        <w:pStyle w:val="BodyText"/>
      </w:pPr>
      <w:r>
        <w:t xml:space="preserve">Cai, B., Miao, Y., Zhao, J., Ying, X., &amp; Lin, W. (2025). The effect of exercise intervention on cognitive function and quality of life with autism spectrum disorder: A systematic review and meta-analysis.</w:t>
      </w:r>
      <w:r>
        <w:t xml:space="preserve"> </w:t>
      </w:r>
      <w:r>
        <w:rPr>
          <w:i/>
        </w:rPr>
        <w:t xml:space="preserve">Actas Españolas de Psiquiatría, 53</w:t>
      </w:r>
      <w:r>
        <w:t xml:space="preserve">(4), 839–856. https://doi.org/10.62641/aep.v53i4.2040</w:t>
      </w:r>
    </w:p>
    <w:p>
      <w:pPr>
        <w:pStyle w:val="BodyText"/>
      </w:pPr>
      <w:r>
        <w:t xml:space="preserve">Cannon, J., O’Brien, A. M., Bungert, L., &amp; Sinha, P. (2021). Prediction in autism spectrum disorder: A systematic review of empirical evidence.</w:t>
      </w:r>
      <w:r>
        <w:t xml:space="preserve"> </w:t>
      </w:r>
      <w:r>
        <w:rPr>
          <w:i/>
        </w:rPr>
        <w:t xml:space="preserve">Autism Research, 14</w:t>
      </w:r>
      <w:r>
        <w:t xml:space="preserve">(4), 604–630. https://doi.org/10.1002/aur.2482</w:t>
      </w:r>
    </w:p>
    <w:p>
      <w:pPr>
        <w:pStyle w:val="BodyText"/>
      </w:pPr>
      <w:r>
        <w:t xml:space="preserve">Cannon, W. B. (1929). Organization for physiological homeostasis.</w:t>
      </w:r>
      <w:r>
        <w:t xml:space="preserve"> </w:t>
      </w:r>
      <w:r>
        <w:rPr>
          <w:i/>
        </w:rPr>
        <w:t xml:space="preserve">Physiological Reviews, 9</w:t>
      </w:r>
      <w:r>
        <w:t xml:space="preserve">(3), 399–431. https://doi.org/10.1152/physrev.1929.9.3.399</w:t>
      </w:r>
    </w:p>
    <w:p>
      <w:pPr>
        <w:pStyle w:val="BodyText"/>
      </w:pPr>
      <w:r>
        <w:t xml:space="preserve">Carleton, R. N. (2016). Into the unknown: A review and synthesis of contemporary models involving uncertainty.</w:t>
      </w:r>
      <w:r>
        <w:t xml:space="preserve"> </w:t>
      </w:r>
      <w:r>
        <w:rPr>
          <w:i/>
        </w:rPr>
        <w:t xml:space="preserve">Journal of Anxiety Disorders, 39</w:t>
      </w:r>
      <w:r>
        <w:t xml:space="preserve">, 30–43. https://doi.org/10.1016/j.janxdis.2016.02.007</w:t>
      </w:r>
    </w:p>
    <w:p>
      <w:pPr>
        <w:pStyle w:val="BodyText"/>
      </w:pPr>
      <w:r>
        <w:t xml:space="preserve">Carver, C. S., &amp; Scheier, M. F. (1982). Control theory: A useful conceptual framework for personality–social, clinical, and health psychology.</w:t>
      </w:r>
      <w:r>
        <w:t xml:space="preserve"> </w:t>
      </w:r>
      <w:r>
        <w:rPr>
          <w:i/>
        </w:rPr>
        <w:t xml:space="preserve">Psychological Bulletin, 92</w:t>
      </w:r>
      <w:r>
        <w:t xml:space="preserve">(1), 111–135. https://doi.org/10.1037/0033-2909.92.1.111</w:t>
      </w:r>
    </w:p>
    <w:p>
      <w:pPr>
        <w:pStyle w:val="BodyText"/>
      </w:pPr>
      <w:r>
        <w:t xml:space="preserve">Cassidy, S. A., Gould, K., Townsend, E., Pelton, M., Robertson, A. E., &amp; Rodgers, J. (2020). Is camouflaging autistic traits associated with suicidal thoughts and behaviours? Expanding the interpersonal psychological theory of suicide in an undergraduate student sample.</w:t>
      </w:r>
      <w:r>
        <w:t xml:space="preserve"> </w:t>
      </w:r>
      <w:r>
        <w:rPr>
          <w:i/>
        </w:rPr>
        <w:t xml:space="preserve">Journal of Autism and Developmental Disorders, 50</w:t>
      </w:r>
      <w:r>
        <w:t xml:space="preserve">(10), 3638–3648. https://doi.org/10.1007/s10803-019-04323-3</w:t>
      </w:r>
    </w:p>
    <w:p>
      <w:pPr>
        <w:pStyle w:val="BodyText"/>
      </w:pPr>
      <w:r>
        <w:t xml:space="preserve">Clark, A. (2013). Whatever next? Predictive brains, situated agents, and the future of cognitive science.</w:t>
      </w:r>
      <w:r>
        <w:t xml:space="preserve"> </w:t>
      </w:r>
      <w:r>
        <w:rPr>
          <w:i/>
        </w:rPr>
        <w:t xml:space="preserve">Behavioral and Brain Sciences, 36</w:t>
      </w:r>
      <w:r>
        <w:t xml:space="preserve">(3), 181–204. https://doi.org/10.1017/S0140525X12000477</w:t>
      </w:r>
    </w:p>
    <w:p>
      <w:pPr>
        <w:pStyle w:val="BodyText"/>
      </w:pPr>
      <w:r>
        <w:t xml:space="preserve">Clark, D. M. (1986). A cognitive approach to panic.</w:t>
      </w:r>
      <w:r>
        <w:t xml:space="preserve"> </w:t>
      </w:r>
      <w:r>
        <w:rPr>
          <w:i/>
        </w:rPr>
        <w:t xml:space="preserve">Behaviour Research and Therapy, 24</w:t>
      </w:r>
      <w:r>
        <w:t xml:space="preserve">(4), 461–470. https://doi.org/10.1016/0005-7967(86)90011-2</w:t>
      </w:r>
    </w:p>
    <w:p>
      <w:pPr>
        <w:pStyle w:val="BodyText"/>
      </w:pPr>
      <w:r>
        <w:t xml:space="preserve">Colombo, M., &amp; Seriès, P. (2012). Bayes in the brain — On Bayesian modelling in neuroscience.</w:t>
      </w:r>
      <w:r>
        <w:t xml:space="preserve"> </w:t>
      </w:r>
      <w:r>
        <w:rPr>
          <w:i/>
        </w:rPr>
        <w:t xml:space="preserve">The British Journal for the Philosophy of Science, 63</w:t>
      </w:r>
      <w:r>
        <w:t xml:space="preserve">(3), 697–723. https://doi.org/10.1093/bjps/axr043</w:t>
      </w:r>
    </w:p>
    <w:p>
      <w:pPr>
        <w:pStyle w:val="BodyText"/>
      </w:pPr>
      <w:r>
        <w:t xml:space="preserve">Corlett, P. R., Horga, G., Fletcher, P. C., Alderson-Day, B., Schmack, K., &amp; Powers, A. R. (2019). Hallucinations and strong priors.</w:t>
      </w:r>
      <w:r>
        <w:t xml:space="preserve"> </w:t>
      </w:r>
      <w:r>
        <w:rPr>
          <w:i/>
        </w:rPr>
        <w:t xml:space="preserve">Trends in Cognitive Sciences, 23</w:t>
      </w:r>
      <w:r>
        <w:t xml:space="preserve">(2), 114–127. https://doi.org/10.1016/j.tics.2018.12.001</w:t>
      </w:r>
    </w:p>
    <w:p>
      <w:pPr>
        <w:pStyle w:val="BodyText"/>
      </w:pPr>
      <w:r>
        <w:t xml:space="preserve">Craik, K. J. W. (1943).</w:t>
      </w:r>
      <w:r>
        <w:t xml:space="preserve"> </w:t>
      </w:r>
      <w:r>
        <w:rPr>
          <w:i/>
        </w:rPr>
        <w:t xml:space="preserve">The nature of explanation</w:t>
      </w:r>
      <w:r>
        <w:t xml:space="preserve">. Cambridge University Press.</w:t>
      </w:r>
    </w:p>
    <w:p>
      <w:pPr>
        <w:pStyle w:val="BodyText"/>
      </w:pPr>
      <w:r>
        <w:t xml:space="preserve">Crank, J. E., Sandbank, M., Dunham, K., Crowley, S., Bottema-Beutel, K., Feldman, J., &amp; Woynaroski, T. G. (2021). Understanding the effects of naturalistic developmental behavioral interventions: A Project AIM meta-analysis.</w:t>
      </w:r>
      <w:r>
        <w:t xml:space="preserve"> </w:t>
      </w:r>
      <w:r>
        <w:rPr>
          <w:i/>
        </w:rPr>
        <w:t xml:space="preserve">Autism Research, 14</w:t>
      </w:r>
      <w:r>
        <w:t xml:space="preserve">(4), 817–834. https://doi.org/10.1002/aur.2471</w:t>
      </w:r>
    </w:p>
    <w:p>
      <w:pPr>
        <w:pStyle w:val="BodyText"/>
      </w:pPr>
      <w:r>
        <w:t xml:space="preserve">Craske, M. G., Treanor, M., Conway, C. C., Zbozinek, T., &amp; Vervliet, B. (2014). Maximizing exposure therapy: An inhibitory learning approach.</w:t>
      </w:r>
      <w:r>
        <w:t xml:space="preserve"> </w:t>
      </w:r>
      <w:r>
        <w:rPr>
          <w:i/>
        </w:rPr>
        <w:t xml:space="preserve">Behaviour Research and Therapy, 58</w:t>
      </w:r>
      <w:r>
        <w:t xml:space="preserve">, 10–23. https://doi.org/10.1016/j.brat.2014.04.006</w:t>
      </w:r>
    </w:p>
    <w:p>
      <w:pPr>
        <w:pStyle w:val="BodyText"/>
      </w:pPr>
      <w:r>
        <w:t xml:space="preserve">Craske, M. G., Treanor, M., Zbozinek, T. D., &amp; Vervliet, B. (2022). Optimizing exposure therapy with an inhibitory retrieval approach and the OptEx Nexus.</w:t>
      </w:r>
      <w:r>
        <w:t xml:space="preserve"> </w:t>
      </w:r>
      <w:r>
        <w:rPr>
          <w:i/>
        </w:rPr>
        <w:t xml:space="preserve">Behaviour Research and Therapy, 152</w:t>
      </w:r>
      <w:r>
        <w:t xml:space="preserve">, 104069. https://doi.org/10.1016/j.brat.2022.104069</w:t>
      </w:r>
    </w:p>
    <w:p>
      <w:pPr>
        <w:pStyle w:val="BodyText"/>
      </w:pPr>
      <w:r>
        <w:t xml:space="preserve">Crippen, M. (2026). Errors or adaptations? A critical review of predictive processing in psychiatry.</w:t>
      </w:r>
      <w:r>
        <w:t xml:space="preserve"> </w:t>
      </w:r>
      <w:r>
        <w:rPr>
          <w:i/>
        </w:rPr>
        <w:t xml:space="preserve">Behavioral Sciences, 16</w:t>
      </w:r>
      <w:r>
        <w:t xml:space="preserve">(7), 1116. https://doi.org/10.3390/bs16071116</w:t>
      </w:r>
    </w:p>
    <w:p>
      <w:pPr>
        <w:pStyle w:val="BodyText"/>
      </w:pPr>
      <w:r>
        <w:t xml:space="preserve">Crompton, C. J., Ropar, D., Evans-Williams, C. V., Flynn, E. G., &amp; Fletcher-Watson, S. (2020). Autistic peer-to-peer information transfer is highly effective.</w:t>
      </w:r>
      <w:r>
        <w:t xml:space="preserve"> </w:t>
      </w:r>
      <w:r>
        <w:rPr>
          <w:i/>
        </w:rPr>
        <w:t xml:space="preserve">Autism, 24</w:t>
      </w:r>
      <w:r>
        <w:t xml:space="preserve">(7), 1704–1712. https://doi.org/10.1177/1362361320919286</w:t>
      </w:r>
    </w:p>
    <w:p>
      <w:pPr>
        <w:pStyle w:val="BodyText"/>
      </w:pPr>
      <w:r>
        <w:t xml:space="preserve">Cui, K., Lin, X., Gao, R., Jing, S., Luo, F., &amp; Wang, J. (2026). A systematic review and meta-analysis of empirical evidence for the simple Bayesian model of autism.</w:t>
      </w:r>
      <w:r>
        <w:t xml:space="preserve"> </w:t>
      </w:r>
      <w:r>
        <w:rPr>
          <w:i/>
        </w:rPr>
        <w:t xml:space="preserve">Neuropsychology Review, 36</w:t>
      </w:r>
      <w:r>
        <w:t xml:space="preserve">(2), 184–195. https://doi.org/10.1007/s11065-025-09672-8</w:t>
      </w:r>
    </w:p>
    <w:p>
      <w:pPr>
        <w:pStyle w:val="BodyText"/>
      </w:pPr>
      <w:r>
        <w:t xml:space="preserve">Dunn, W. (1997). The impact of sensory processing abilities on the daily lives of young children and their families: A conceptual model.</w:t>
      </w:r>
      <w:r>
        <w:t xml:space="preserve"> </w:t>
      </w:r>
      <w:r>
        <w:rPr>
          <w:i/>
        </w:rPr>
        <w:t xml:space="preserve">Infants &amp; Young Children, 9</w:t>
      </w:r>
      <w:r>
        <w:t xml:space="preserve">(4), 23–35. https://doi.org/10.1097/00001163-199704000-00005</w:t>
      </w:r>
    </w:p>
    <w:p>
      <w:pPr>
        <w:pStyle w:val="BodyText"/>
      </w:pPr>
      <w:r>
        <w:t xml:space="preserve">Dwyer, P., Sillas, A., Saron, C. D., &amp; Rivera, S. M. (2025). Investigating autistic hyperfocus and monotropism: Limited convergence of event-related potentials, laboratory tasks, and questionnaire responses.</w:t>
      </w:r>
      <w:r>
        <w:t xml:space="preserve"> </w:t>
      </w:r>
      <w:r>
        <w:rPr>
          <w:i/>
        </w:rPr>
        <w:t xml:space="preserve">Research in Autism, 127</w:t>
      </w:r>
      <w:r>
        <w:t xml:space="preserve">, 202683. https://doi.org/10.1016/j.reia.2025.202683</w:t>
      </w:r>
    </w:p>
    <w:p>
      <w:pPr>
        <w:pStyle w:val="BodyText"/>
      </w:pPr>
      <w:r>
        <w:t xml:space="preserve">Edwards, M. J., Adams, R. A., Brown, H., Pareés, I., &amp; Friston, K. J. (2012). A Bayesian account of</w:t>
      </w:r>
      <w:r>
        <w:t xml:space="preserve"> </w:t>
      </w:r>
      <w:r>
        <w:t xml:space="preserve">‘</w:t>
      </w:r>
      <w:r>
        <w:t xml:space="preserve">hysteria</w:t>
      </w:r>
      <w:r>
        <w:t xml:space="preserve">’</w:t>
      </w:r>
      <w:r>
        <w:t xml:space="preserve">.</w:t>
      </w:r>
      <w:r>
        <w:t xml:space="preserve"> </w:t>
      </w:r>
      <w:r>
        <w:rPr>
          <w:i/>
        </w:rPr>
        <w:t xml:space="preserve">Brain, 135</w:t>
      </w:r>
      <w:r>
        <w:t xml:space="preserve">(11), 3495–3512. https://doi.org/10.1093/brain/aws129</w:t>
      </w:r>
    </w:p>
    <w:p>
      <w:pPr>
        <w:pStyle w:val="BodyText"/>
      </w:pPr>
      <w:r>
        <w:t xml:space="preserve">Feldman, H., &amp; Friston, K. J. (2010). Attention, uncertainty, and free-energy.</w:t>
      </w:r>
      <w:r>
        <w:t xml:space="preserve"> </w:t>
      </w:r>
      <w:r>
        <w:rPr>
          <w:i/>
        </w:rPr>
        <w:t xml:space="preserve">Frontiers in Human Neuroscience, 4</w:t>
      </w:r>
      <w:r>
        <w:t xml:space="preserve">, 215. https://doi.org/10.3389/fnhum.2010.00215</w:t>
      </w:r>
    </w:p>
    <w:p>
      <w:pPr>
        <w:pStyle w:val="BodyText"/>
      </w:pPr>
      <w:r>
        <w:t xml:space="preserve">Feldman, R. (2012). Parent–infant synchrony: A biobehavioral model of mutual influences in the formation of affiliative bonds.</w:t>
      </w:r>
      <w:r>
        <w:t xml:space="preserve"> </w:t>
      </w:r>
      <w:r>
        <w:rPr>
          <w:i/>
        </w:rPr>
        <w:t xml:space="preserve">Monographs of the Society for Research in Child Development, 77</w:t>
      </w:r>
      <w:r>
        <w:t xml:space="preserve">(2), 42–51. https://doi.org/10.1111/j.1540-5834.2011.00660.x</w:t>
      </w:r>
    </w:p>
    <w:p>
      <w:pPr>
        <w:pStyle w:val="BodyText"/>
      </w:pPr>
      <w:r>
        <w:t xml:space="preserve">Fradkin, I., Adams, R. A., Parr, T., Roiser, J. P., &amp; Huppert, J. D. (2020). Searching for an anchor in an unpredictable world: A computational model of obsessive compulsive disorder.</w:t>
      </w:r>
      <w:r>
        <w:t xml:space="preserve"> </w:t>
      </w:r>
      <w:r>
        <w:rPr>
          <w:i/>
        </w:rPr>
        <w:t xml:space="preserve">Psychological Review, 127</w:t>
      </w:r>
      <w:r>
        <w:t xml:space="preserve">(5), 672–699. https://doi.org/10.1037/rev0000188</w:t>
      </w:r>
    </w:p>
    <w:p>
      <w:pPr>
        <w:pStyle w:val="BodyText"/>
      </w:pPr>
      <w:r>
        <w:t xml:space="preserve">Friston, K. (2010). The free-energy principle: A unified brain theory?</w:t>
      </w:r>
      <w:r>
        <w:t xml:space="preserve"> </w:t>
      </w:r>
      <w:r>
        <w:rPr>
          <w:i/>
        </w:rPr>
        <w:t xml:space="preserve">Nature Reviews Neuroscience, 11</w:t>
      </w:r>
      <w:r>
        <w:t xml:space="preserve">(2), 127–138. https://doi.org/10.1038/nrn2787</w:t>
      </w:r>
    </w:p>
    <w:p>
      <w:pPr>
        <w:pStyle w:val="BodyText"/>
      </w:pPr>
      <w:r>
        <w:t xml:space="preserve">Friston, K., Thornton, C., &amp; Clark, A. (2012). Free-energy minimization and the dark-room problem.</w:t>
      </w:r>
      <w:r>
        <w:t xml:space="preserve"> </w:t>
      </w:r>
      <w:r>
        <w:rPr>
          <w:i/>
        </w:rPr>
        <w:t xml:space="preserve">Frontiers in Psychology, 3</w:t>
      </w:r>
      <w:r>
        <w:t xml:space="preserve">, 130. https://doi.org/10.3389/fpsyg.2012.00130</w:t>
      </w:r>
    </w:p>
    <w:p>
      <w:pPr>
        <w:pStyle w:val="BodyText"/>
      </w:pPr>
      <w:r>
        <w:t xml:space="preserve">Furutachi, S., &amp; Hofer, S. B. (2026). Rethinking predictive processing.</w:t>
      </w:r>
      <w:r>
        <w:t xml:space="preserve"> </w:t>
      </w:r>
      <w:r>
        <w:rPr>
          <w:i/>
        </w:rPr>
        <w:t xml:space="preserve">Annual Review of Neuroscience, 49</w:t>
      </w:r>
      <w:r>
        <w:t xml:space="preserve">(1), 471–494. https://doi.org/10.1146/annurev-neuro-102124-031410</w:t>
      </w:r>
    </w:p>
    <w:p>
      <w:pPr>
        <w:pStyle w:val="BodyText"/>
      </w:pPr>
      <w:r>
        <w:t xml:space="preserve">Gizowski, C., &amp; Bourque, C. W. (2018). The neural basis of homeostatic and anticipatory thirst.</w:t>
      </w:r>
      <w:r>
        <w:t xml:space="preserve"> </w:t>
      </w:r>
      <w:r>
        <w:rPr>
          <w:i/>
        </w:rPr>
        <w:t xml:space="preserve">Nature Reviews Nephrology, 14</w:t>
      </w:r>
      <w:r>
        <w:t xml:space="preserve">(1), 11–25. https://doi.org/10.1038/nrneph.2017.149</w:t>
      </w:r>
    </w:p>
    <w:p>
      <w:pPr>
        <w:pStyle w:val="BodyText"/>
      </w:pPr>
      <w:r>
        <w:t xml:space="preserve">Grandin, T. (2009). How does visual thinking work in the mind of a person with autism? A personal account.</w:t>
      </w:r>
      <w:r>
        <w:t xml:space="preserve"> </w:t>
      </w:r>
      <w:r>
        <w:rPr>
          <w:i/>
        </w:rPr>
        <w:t xml:space="preserve">Philosophical Transactions of the Royal Society B: Biological Sciences, 364</w:t>
      </w:r>
      <w:r>
        <w:t xml:space="preserve">(1522), 1437–1442. https://doi.org/10.1098/rstb.2008.0297</w:t>
      </w:r>
    </w:p>
    <w:p>
      <w:pPr>
        <w:pStyle w:val="BodyText"/>
      </w:pPr>
      <w:r>
        <w:t xml:space="preserve">Gringras, P., Green, D., Wright, B., Rush, C., Sparrowhawk, M., Pratt, K., Allgar, V., Hooke, N., Moore, D., Zaiwalla, Z., &amp; Wiggs, L. (2014). Weighted blankets and sleep in autistic children — A randomized controlled trial.</w:t>
      </w:r>
      <w:r>
        <w:t xml:space="preserve"> </w:t>
      </w:r>
      <w:r>
        <w:rPr>
          <w:i/>
        </w:rPr>
        <w:t xml:space="preserve">Pediatrics, 134</w:t>
      </w:r>
      <w:r>
        <w:t xml:space="preserve">(2), 298–306. https://doi.org/10.1542/peds.2013-4285</w:t>
      </w:r>
    </w:p>
    <w:p>
      <w:pPr>
        <w:pStyle w:val="BodyText"/>
      </w:pPr>
      <w:r>
        <w:t xml:space="preserve">Harris, K. M., Mahone, E. M., &amp; Singer, H. S. (2008). Nonautistic motor stereotypies: Clinical features and longitudinal follow-up.</w:t>
      </w:r>
      <w:r>
        <w:t xml:space="preserve"> </w:t>
      </w:r>
      <w:r>
        <w:rPr>
          <w:i/>
        </w:rPr>
        <w:t xml:space="preserve">Pediatric Neurology, 38</w:t>
      </w:r>
      <w:r>
        <w:t xml:space="preserve">(4), 267–272. https://doi.org/10.1016/j.pediatrneurol.2007.12.008</w:t>
      </w:r>
    </w:p>
    <w:p>
      <w:pPr>
        <w:pStyle w:val="BodyText"/>
      </w:pPr>
      <w:r>
        <w:t xml:space="preserve">Hartley, M., Dorstyn, D., &amp; Due, C. (2019). Mindfulness for children and adults with autism spectrum disorder and their caregivers: A meta-analysis.</w:t>
      </w:r>
      <w:r>
        <w:t xml:space="preserve"> </w:t>
      </w:r>
      <w:r>
        <w:rPr>
          <w:i/>
        </w:rPr>
        <w:t xml:space="preserve">Journal of Autism and Developmental Disorders, 49</w:t>
      </w:r>
      <w:r>
        <w:t xml:space="preserve">(10), 4306–4319. https://doi.org/10.1007/s10803-019-04145-3</w:t>
      </w:r>
    </w:p>
    <w:p>
      <w:pPr>
        <w:pStyle w:val="BodyText"/>
      </w:pPr>
      <w:r>
        <w:t xml:space="preserve">Higgins, J. M., Arnold, S. R., Weise, J., Pellicano, E., &amp; Trollor, J. N. (2021). Defining autistic burnout through experts by lived experience: Grounded Delphi method investigating #AutisticBurnout.</w:t>
      </w:r>
      <w:r>
        <w:t xml:space="preserve"> </w:t>
      </w:r>
      <w:r>
        <w:rPr>
          <w:i/>
        </w:rPr>
        <w:t xml:space="preserve">Autism, 25</w:t>
      </w:r>
      <w:r>
        <w:t xml:space="preserve">(8), 2356–2369. https://doi.org/10.1177/13623613211019858</w:t>
      </w:r>
    </w:p>
    <w:p>
      <w:pPr>
        <w:pStyle w:val="BodyText"/>
      </w:pPr>
      <w:r>
        <w:t xml:space="preserve">Higginson, S., Mansell, W., &amp; Wood, A. M. (2011). An integrative mechanistic account of psychological distress, therapeutic change and recovery: The Perceptual Control Theory approach.</w:t>
      </w:r>
      <w:r>
        <w:t xml:space="preserve"> </w:t>
      </w:r>
      <w:r>
        <w:rPr>
          <w:i/>
        </w:rPr>
        <w:t xml:space="preserve">Clinical Psychology Review, 31</w:t>
      </w:r>
      <w:r>
        <w:t xml:space="preserve">(2), 249–259. https://doi.org/10.1016/j.cpr.2010.01.005</w:t>
      </w:r>
    </w:p>
    <w:p>
      <w:pPr>
        <w:pStyle w:val="BodyText"/>
      </w:pPr>
      <w:r>
        <w:t xml:space="preserve">Hohwy, J. (2016). The self-evidencing brain.</w:t>
      </w:r>
      <w:r>
        <w:t xml:space="preserve"> </w:t>
      </w:r>
      <w:r>
        <w:rPr>
          <w:i/>
        </w:rPr>
        <w:t xml:space="preserve">Noûs, 50</w:t>
      </w:r>
      <w:r>
        <w:t xml:space="preserve">(2), 259–285. https://doi.org/10.1111/nous.12062</w:t>
      </w:r>
    </w:p>
    <w:p>
      <w:pPr>
        <w:pStyle w:val="BodyText"/>
      </w:pPr>
      <w:r>
        <w:t xml:space="preserve">Huang, H., Zhu, H., Tang, H., Jin, S., Zhao, Y., Zou, Y., Peng, X., &amp; Xu, S. (2026). Efficacy of the Picture Exchange Communication System for children with autism in Mainland China: A systematic review and meta-analysis of randomized controlled trials.</w:t>
      </w:r>
      <w:r>
        <w:t xml:space="preserve"> </w:t>
      </w:r>
      <w:r>
        <w:rPr>
          <w:i/>
        </w:rPr>
        <w:t xml:space="preserve">Research in Developmental Disabilities, 168</w:t>
      </w:r>
      <w:r>
        <w:t xml:space="preserve">, 105190. https://doi.org/10.1016/j.ridd.2025.105190</w:t>
      </w:r>
    </w:p>
    <w:p>
      <w:pPr>
        <w:pStyle w:val="BodyText"/>
      </w:pPr>
      <w:r>
        <w:t xml:space="preserve">Huang, Y., Arnold, S. R., Foley, K.-R., &amp; Trollor, J. N. (2020). Diagnosis of autism in adulthood: A scoping review.</w:t>
      </w:r>
      <w:r>
        <w:t xml:space="preserve"> </w:t>
      </w:r>
      <w:r>
        <w:rPr>
          <w:i/>
        </w:rPr>
        <w:t xml:space="preserve">Autism, 24</w:t>
      </w:r>
      <w:r>
        <w:t xml:space="preserve">(6), 1311–1327. https://doi.org/10.1177/1362361320903128</w:t>
      </w:r>
    </w:p>
    <w:p>
      <w:pPr>
        <w:pStyle w:val="BodyText"/>
      </w:pPr>
      <w:r>
        <w:t xml:space="preserve">Hull, L., Petrides, K. V., Allison, C., Smith, P., Baron-Cohen, S., Lai, M.-C., &amp; Mandy, W. (2017).</w:t>
      </w:r>
      <w:r>
        <w:t xml:space="preserve"> </w:t>
      </w:r>
      <w:r>
        <w:t xml:space="preserve">“</w:t>
      </w:r>
      <w:r>
        <w:t xml:space="preserve">Putting on my best normal</w:t>
      </w:r>
      <w:r>
        <w:t xml:space="preserve">”</w:t>
      </w:r>
      <w:r>
        <w:t xml:space="preserve">: Social camouflaging in adults with autism spectrum conditions.</w:t>
      </w:r>
      <w:r>
        <w:t xml:space="preserve"> </w:t>
      </w:r>
      <w:r>
        <w:rPr>
          <w:i/>
        </w:rPr>
        <w:t xml:space="preserve">Journal of Autism and Developmental Disorders, 47</w:t>
      </w:r>
      <w:r>
        <w:t xml:space="preserve">(8), 2519–2534. https://doi.org/10.1007/s10803-017-3166-5</w:t>
      </w:r>
    </w:p>
    <w:p>
      <w:pPr>
        <w:pStyle w:val="BodyText"/>
      </w:pPr>
      <w:r>
        <w:t xml:space="preserve">Jaswal, V. K., &amp; Akhtar, N. (2019). Being versus appearing socially uninterested: Challenging assumptions about social motivation in autism.</w:t>
      </w:r>
      <w:r>
        <w:t xml:space="preserve"> </w:t>
      </w:r>
      <w:r>
        <w:rPr>
          <w:i/>
        </w:rPr>
        <w:t xml:space="preserve">Behavioral and Brain Sciences, 42</w:t>
      </w:r>
      <w:r>
        <w:t xml:space="preserve">, e82. https://doi.org/10.1017/S0140525X18001826</w:t>
      </w:r>
    </w:p>
    <w:p>
      <w:pPr>
        <w:pStyle w:val="BodyText"/>
      </w:pPr>
      <w:r>
        <w:t xml:space="preserve">Joseph, P. D., &amp; Tou, J. T. (1961). On linear control theory.</w:t>
      </w:r>
      <w:r>
        <w:t xml:space="preserve"> </w:t>
      </w:r>
      <w:r>
        <w:rPr>
          <w:i/>
        </w:rPr>
        <w:t xml:space="preserve">Transactions of the American Institute of Electrical Engineers, Part II: Applications and Industry, 80</w:t>
      </w:r>
      <w:r>
        <w:t xml:space="preserve">(4), 193–196. https://doi.org/10.1109/TAI.1961.6371743</w:t>
      </w:r>
    </w:p>
    <w:p>
      <w:pPr>
        <w:pStyle w:val="BodyText"/>
      </w:pPr>
      <w:r>
        <w:t xml:space="preserve">Kadlaskar, G., King, S. E., &amp; Stewart, J. R. (2026). Sensory reactivity in children referred for autism evaluation: Associations with autism symptoms and adaptive skills.</w:t>
      </w:r>
      <w:r>
        <w:t xml:space="preserve"> </w:t>
      </w:r>
      <w:r>
        <w:rPr>
          <w:i/>
        </w:rPr>
        <w:t xml:space="preserve">Brain Sciences, 16</w:t>
      </w:r>
      <w:r>
        <w:t xml:space="preserve">(3), 310. https://doi.org/10.3390/brainsci16030310</w:t>
      </w:r>
    </w:p>
    <w:p>
      <w:pPr>
        <w:pStyle w:val="BodyText"/>
      </w:pPr>
      <w:r>
        <w:t xml:space="preserve">Kalman, R. E. (1960). A new approach to linear filtering and prediction problems.</w:t>
      </w:r>
      <w:r>
        <w:t xml:space="preserve"> </w:t>
      </w:r>
      <w:r>
        <w:rPr>
          <w:i/>
        </w:rPr>
        <w:t xml:space="preserve">Journal of Basic Engineering, 82</w:t>
      </w:r>
      <w:r>
        <w:t xml:space="preserve">(1), 35–45. https://doi.org/10.1115/1.3662552</w:t>
      </w:r>
    </w:p>
    <w:p>
      <w:pPr>
        <w:pStyle w:val="BodyText"/>
      </w:pPr>
      <w:r>
        <w:t xml:space="preserve">Kapp, S. K. (2025). Sensory-movement underpinnings of lifelong neurodivergence: Getting a grip on autism.</w:t>
      </w:r>
      <w:r>
        <w:t xml:space="preserve"> </w:t>
      </w:r>
      <w:r>
        <w:rPr>
          <w:i/>
        </w:rPr>
        <w:t xml:space="preserve">Frontiers in Integrative Neuroscience, 19</w:t>
      </w:r>
      <w:r>
        <w:t xml:space="preserve">, 1489322. https://doi.org/10.3389/fnint.2025.1489322</w:t>
      </w:r>
    </w:p>
    <w:p>
      <w:pPr>
        <w:pStyle w:val="BodyText"/>
      </w:pPr>
      <w:r>
        <w:t xml:space="preserve">Kapp, S. K., Steward, R., Crane, L., Elliott, D., Elphick, C., Pellicano, E., &amp; Russell, G. (2019).</w:t>
      </w:r>
      <w:r>
        <w:t xml:space="preserve"> </w:t>
      </w:r>
      <w:r>
        <w:t xml:space="preserve">‘</w:t>
      </w:r>
      <w:r>
        <w:t xml:space="preserve">People should be allowed to do what they like</w:t>
      </w:r>
      <w:r>
        <w:t xml:space="preserve">’</w:t>
      </w:r>
      <w:r>
        <w:t xml:space="preserve">: Autistic adults’ views and experiences of stimming.</w:t>
      </w:r>
      <w:r>
        <w:t xml:space="preserve"> </w:t>
      </w:r>
      <w:r>
        <w:rPr>
          <w:i/>
        </w:rPr>
        <w:t xml:space="preserve">Autism, 23</w:t>
      </w:r>
      <w:r>
        <w:t xml:space="preserve">(7), 1782–1792. https://doi.org/10.1177/1362361319829628</w:t>
      </w:r>
    </w:p>
    <w:p>
      <w:pPr>
        <w:pStyle w:val="BodyText"/>
      </w:pPr>
      <w:r>
        <w:t xml:space="preserve">Keller, G. B., &amp; Mrsic-Flogel, T. D. (2018). Predictive processing: A canonical cortical computation.</w:t>
      </w:r>
      <w:r>
        <w:t xml:space="preserve"> </w:t>
      </w:r>
      <w:r>
        <w:rPr>
          <w:i/>
        </w:rPr>
        <w:t xml:space="preserve">Neuron, 100</w:t>
      </w:r>
      <w:r>
        <w:t xml:space="preserve">(2), 424–435. https://doi.org/10.1016/j.neuron.2018.10.003</w:t>
      </w:r>
    </w:p>
    <w:p>
      <w:pPr>
        <w:pStyle w:val="BodyText"/>
      </w:pPr>
      <w:r>
        <w:t xml:space="preserve">Kennaway, R. (2025). Perceptual control theory and the free energy principle: A comparison.</w:t>
      </w:r>
      <w:r>
        <w:t xml:space="preserve"> </w:t>
      </w:r>
      <w:r>
        <w:rPr>
          <w:i/>
        </w:rPr>
        <w:t xml:space="preserve">Current Opinion in Behavioral Sciences, 65</w:t>
      </w:r>
      <w:r>
        <w:t xml:space="preserve">, 101575. https://doi.org/10.1016/j.cobeha.2025.101575</w:t>
      </w:r>
    </w:p>
    <w:p>
      <w:pPr>
        <w:pStyle w:val="BodyText"/>
      </w:pPr>
      <w:r>
        <w:t xml:space="preserve">Kenny, L., Hattersley, C., Molins, B., Buckley, C., Povey, C., &amp; Pellicano, E. (2016). Which terms should be used to describe autism? Perspectives from the UK autism community.</w:t>
      </w:r>
      <w:r>
        <w:t xml:space="preserve"> </w:t>
      </w:r>
      <w:r>
        <w:rPr>
          <w:i/>
        </w:rPr>
        <w:t xml:space="preserve">Autism, 20</w:t>
      </w:r>
      <w:r>
        <w:t xml:space="preserve">(4), 442–462. https://doi.org/10.1177/1362361315588200</w:t>
      </w:r>
    </w:p>
    <w:p>
      <w:pPr>
        <w:pStyle w:val="BodyText"/>
      </w:pPr>
      <w:r>
        <w:t xml:space="preserve">Kim, J. Y., Ravichandran, V., Moeyaert, M., Ditzler, H., Ryan, M., &amp; Fienup, D. M. (2026). Interventions for transition-related challenging behavior in individuals with disabilities: A targeted research synthesis and meta-analysis of studies published in behavior analytic journals.</w:t>
      </w:r>
      <w:r>
        <w:t xml:space="preserve"> </w:t>
      </w:r>
      <w:r>
        <w:rPr>
          <w:i/>
        </w:rPr>
        <w:t xml:space="preserve">Behavior Modification, 50</w:t>
      </w:r>
      <w:r>
        <w:t xml:space="preserve">(3), 212–247. https://doi.org/10.1177/01454455261421144</w:t>
      </w:r>
    </w:p>
    <w:p>
      <w:pPr>
        <w:pStyle w:val="BodyText"/>
      </w:pPr>
      <w:r>
        <w:t xml:space="preserve">King, B. H., Hollander, E., Sikich, L., McCracken, J. T., Scahill, L., Bregman, J. D., Donnelly, C. L., Anagnostou, E., Dukes, K., Sullivan, L., Hirtz, D., Wagner, A., &amp; Ritz, L. (2009). Lack of efficacy of citalopram in children with autism spectrum disorders and high levels of repetitive behavior: Citalopram ineffective in children with autism.</w:t>
      </w:r>
      <w:r>
        <w:t xml:space="preserve"> </w:t>
      </w:r>
      <w:r>
        <w:rPr>
          <w:i/>
        </w:rPr>
        <w:t xml:space="preserve">Archives of General Psychiatry, 66</w:t>
      </w:r>
      <w:r>
        <w:t xml:space="preserve">(6), 583–590. https://doi.org/10.1001/archgenpsychiatry.2009.30</w:t>
      </w:r>
    </w:p>
    <w:p>
      <w:pPr>
        <w:pStyle w:val="BodyText"/>
      </w:pPr>
      <w:r>
        <w:t xml:space="preserve">Kinnaird, E., Stewart, C., &amp; Tchanturia, K. (2019). Investigating alexithymia in autism: A systematic review and meta-analysis.</w:t>
      </w:r>
      <w:r>
        <w:t xml:space="preserve"> </w:t>
      </w:r>
      <w:r>
        <w:rPr>
          <w:i/>
        </w:rPr>
        <w:t xml:space="preserve">European Psychiatry, 55</w:t>
      </w:r>
      <w:r>
        <w:t xml:space="preserve">, 80–89. https://doi.org/10.1016/j.eurpsy.2018.09.004</w:t>
      </w:r>
    </w:p>
    <w:p>
      <w:pPr>
        <w:pStyle w:val="BodyText"/>
      </w:pPr>
      <w:r>
        <w:t xml:space="preserve">Klein, M., Witthöft, M., &amp; Jungmann, S. M. (2025). Interoception in individuals with autism spectrum disorder: A systematic literature review and meta-analysis.</w:t>
      </w:r>
      <w:r>
        <w:t xml:space="preserve"> </w:t>
      </w:r>
      <w:r>
        <w:rPr>
          <w:i/>
        </w:rPr>
        <w:t xml:space="preserve">Frontiers in Psychiatry, 16</w:t>
      </w:r>
      <w:r>
        <w:t xml:space="preserve">, 1573263. https://doi.org/10.3389/fpsyt.2025.1573263</w:t>
      </w:r>
    </w:p>
    <w:p>
      <w:pPr>
        <w:pStyle w:val="BodyText"/>
      </w:pPr>
      <w:r>
        <w:t xml:space="preserve">Lafer-Sousa, R., Hermann, K. L., &amp; Conway, B. R. (2015). Striking individual differences in color perception uncovered by</w:t>
      </w:r>
      <w:r>
        <w:t xml:space="preserve"> </w:t>
      </w:r>
      <w:r>
        <w:t xml:space="preserve">‘</w:t>
      </w:r>
      <w:r>
        <w:t xml:space="preserve">the dress</w:t>
      </w:r>
      <w:r>
        <w:t xml:space="preserve">’</w:t>
      </w:r>
      <w:r>
        <w:t xml:space="preserve"> </w:t>
      </w:r>
      <w:r>
        <w:t xml:space="preserve">photograph.</w:t>
      </w:r>
      <w:r>
        <w:t xml:space="preserve"> </w:t>
      </w:r>
      <w:r>
        <w:rPr>
          <w:i/>
        </w:rPr>
        <w:t xml:space="preserve">Current Biology, 25</w:t>
      </w:r>
      <w:r>
        <w:t xml:space="preserve">(13), R545–R546. https://doi.org/10.1016/j.cub.2015.04.053</w:t>
      </w:r>
    </w:p>
    <w:p>
      <w:pPr>
        <w:pStyle w:val="BodyText"/>
      </w:pPr>
      <w:r>
        <w:t xml:space="preserve">Lai, M.-C., &amp; Baron-Cohen, S. (2015). Identifying the lost generation of adults with autism spectrum conditions.</w:t>
      </w:r>
      <w:r>
        <w:t xml:space="preserve"> </w:t>
      </w:r>
      <w:r>
        <w:rPr>
          <w:i/>
        </w:rPr>
        <w:t xml:space="preserve">The Lancet Psychiatry, 2</w:t>
      </w:r>
      <w:r>
        <w:t xml:space="preserve">(11), 1013–1027. https://doi.org/10.1016/S2215-0366(15)00277-1</w:t>
      </w:r>
    </w:p>
    <w:p>
      <w:pPr>
        <w:pStyle w:val="BodyText"/>
      </w:pPr>
      <w:r>
        <w:t xml:space="preserve">Lai, M.-C., Kassee, C., Besney, R., Bonato, S., Hull, L., Mandy, W., Szatmari, P., &amp; Ameis, S. H. (2019). Prevalence of co-occurring mental health diagnoses in the autism population: A systematic review and meta-analysis.</w:t>
      </w:r>
      <w:r>
        <w:t xml:space="preserve"> </w:t>
      </w:r>
      <w:r>
        <w:rPr>
          <w:i/>
        </w:rPr>
        <w:t xml:space="preserve">The Lancet Psychiatry, 6</w:t>
      </w:r>
      <w:r>
        <w:t xml:space="preserve">(10), 819–829. https://doi.org/10.1016/S2215-0366(19)30289-5</w:t>
      </w:r>
    </w:p>
    <w:p>
      <w:pPr>
        <w:pStyle w:val="BodyText"/>
      </w:pPr>
      <w:r>
        <w:t xml:space="preserve">Lally, P., van Jaarsveld, C. H. M., Potts, H. W. W., &amp; Wardle, J. (2010). How are habits formed: Modelling habit formation in the real world.</w:t>
      </w:r>
      <w:r>
        <w:t xml:space="preserve"> </w:t>
      </w:r>
      <w:r>
        <w:rPr>
          <w:i/>
        </w:rPr>
        <w:t xml:space="preserve">European Journal of Social Psychology, 40</w:t>
      </w:r>
      <w:r>
        <w:t xml:space="preserve">(6), 998–1009. https://doi.org/10.1002/ejsp.674</w:t>
      </w:r>
    </w:p>
    <w:p>
      <w:pPr>
        <w:pStyle w:val="BodyText"/>
      </w:pPr>
      <w:r>
        <w:t xml:space="preserve">Lawson, R. P., Mathys, C., &amp; Rees, G. (2017). Adults with autism overestimate the volatility of the sensory environment.</w:t>
      </w:r>
      <w:r>
        <w:t xml:space="preserve"> </w:t>
      </w:r>
      <w:r>
        <w:rPr>
          <w:i/>
        </w:rPr>
        <w:t xml:space="preserve">Nature Neuroscience, 20</w:t>
      </w:r>
      <w:r>
        <w:t xml:space="preserve">(9), 1293–1299. https://doi.org/10.1038/nn.4615</w:t>
      </w:r>
    </w:p>
    <w:p>
      <w:pPr>
        <w:pStyle w:val="BodyText"/>
      </w:pPr>
      <w:r>
        <w:t xml:space="preserve">Leong, H. M., Carter, M., &amp; Stephenson, J. (2015). Systematic review of sensory integration therapy for individuals with disabilities: Single case design studies.</w:t>
      </w:r>
      <w:r>
        <w:t xml:space="preserve"> </w:t>
      </w:r>
      <w:r>
        <w:rPr>
          <w:i/>
        </w:rPr>
        <w:t xml:space="preserve">Research in Developmental Disabilities, 47</w:t>
      </w:r>
      <w:r>
        <w:t xml:space="preserve">, 334–351. https://doi.org/10.1016/j.ridd.2015.09.022</w:t>
      </w:r>
    </w:p>
    <w:p>
      <w:pPr>
        <w:pStyle w:val="BodyText"/>
      </w:pPr>
      <w:r>
        <w:t xml:space="preserve">Lewis, M. H., Baumeister, A. A., &amp; Mailman, R. B. (1987). A neurobiological alternative to the perceptual reinforcement hypothesis of stereotyped behavior: A commentary on</w:t>
      </w:r>
      <w:r>
        <w:t xml:space="preserve"> </w:t>
      </w:r>
      <w:r>
        <w:t xml:space="preserve">“</w:t>
      </w:r>
      <w:r>
        <w:t xml:space="preserve">Self-stimulatory behavior and perceptual reinforcement.</w:t>
      </w:r>
      <w:r>
        <w:t xml:space="preserve">”</w:t>
      </w:r>
      <w:r>
        <w:t xml:space="preserve"> </w:t>
      </w:r>
      <w:r>
        <w:rPr>
          <w:i/>
        </w:rPr>
        <w:t xml:space="preserve">Journal of Applied Behavior Analysis, 20</w:t>
      </w:r>
      <w:r>
        <w:t xml:space="preserve">(3), 253–258. https://doi.org/10.1901/jaba.1987.20-253</w:t>
      </w:r>
    </w:p>
    <w:p>
      <w:pPr>
        <w:pStyle w:val="BodyText"/>
      </w:pPr>
      <w:r>
        <w:t xml:space="preserve">Li, J., Chen, M., Chan, R. C. F., Chan, J. L. M., Liang, X., &amp; Wang, L. (2025). The effectiveness of TEACCH-based interventions in improving adaptive skills in children with autism spectrum disorders: A systematic review and meta-analysis.</w:t>
      </w:r>
      <w:r>
        <w:t xml:space="preserve"> </w:t>
      </w:r>
      <w:r>
        <w:rPr>
          <w:i/>
        </w:rPr>
        <w:t xml:space="preserve">Translational Pediatrics, 14</w:t>
      </w:r>
      <w:r>
        <w:t xml:space="preserve">(12), 3263–3280. https://doi.org/10.21037/tp-2025-466</w:t>
      </w:r>
    </w:p>
    <w:p>
      <w:pPr>
        <w:pStyle w:val="BodyText"/>
      </w:pPr>
      <w:r>
        <w:t xml:space="preserve">Li, Y., Qi, Y., Yang, Y., &amp; Zhang, R. (2026). Effects of exercise intervention on inhibitory control in children and adolescents with autism spectrum disorders: A systematic review and meta-analysis.</w:t>
      </w:r>
      <w:r>
        <w:t xml:space="preserve"> </w:t>
      </w:r>
      <w:r>
        <w:rPr>
          <w:i/>
        </w:rPr>
        <w:t xml:space="preserve">Medicine, 105</w:t>
      </w:r>
      <w:r>
        <w:t xml:space="preserve">(3), e47186. https://doi.org/10.1097/MD.0000000000047186</w:t>
      </w:r>
    </w:p>
    <w:p>
      <w:pPr>
        <w:pStyle w:val="BodyText"/>
      </w:pPr>
      <w:r>
        <w:t xml:space="preserve">Lidstone, D. E., Miah, F. Z., Poston, B., Beasley, J. F., Mostofsky, S. H., &amp; Dufek, J. S. (2020). Children with autism spectrum disorder show impairments during dynamic versus static grip-force tracking.</w:t>
      </w:r>
      <w:r>
        <w:t xml:space="preserve"> </w:t>
      </w:r>
      <w:r>
        <w:rPr>
          <w:i/>
        </w:rPr>
        <w:t xml:space="preserve">Autism Research, 13</w:t>
      </w:r>
      <w:r>
        <w:t xml:space="preserve">(12), 2177–2189. https://doi.org/10.1002/aur.2370</w:t>
      </w:r>
    </w:p>
    <w:p>
      <w:pPr>
        <w:pStyle w:val="BodyText"/>
      </w:pPr>
      <w:r>
        <w:t xml:space="preserve">Litwin, P., &amp; Miłkowski, M. (2020). Unification by fiat: Arrested development of predictive processing.</w:t>
      </w:r>
      <w:r>
        <w:t xml:space="preserve"> </w:t>
      </w:r>
      <w:r>
        <w:rPr>
          <w:i/>
        </w:rPr>
        <w:t xml:space="preserve">Cognitive Science, 44</w:t>
      </w:r>
      <w:r>
        <w:t xml:space="preserve">(7), e12867. https://doi.org/10.1111/cogs.12867</w:t>
      </w:r>
    </w:p>
    <w:p>
      <w:pPr>
        <w:pStyle w:val="BodyText"/>
      </w:pPr>
      <w:r>
        <w:t xml:space="preserve">Liu, L., Xin, X., &amp; Ying, Z. (2026). Comparative efficacy of pharmacological, adjunctive, and non-pharmacological interventions across behavioral domains in children and adolescents with autism spectrum disorder: A systematic review and network meta-analysis.</w:t>
      </w:r>
      <w:r>
        <w:t xml:space="preserve"> </w:t>
      </w:r>
      <w:r>
        <w:rPr>
          <w:i/>
        </w:rPr>
        <w:t xml:space="preserve">Child and Adolescent Psychiatry and Mental Health.</w:t>
      </w:r>
      <w:r>
        <w:t xml:space="preserve"> </w:t>
      </w:r>
      <w:r>
        <w:t xml:space="preserve">Advance online publication. https://doi.org/10.1186/s13034-026-01132-2</w:t>
      </w:r>
    </w:p>
    <w:p>
      <w:pPr>
        <w:pStyle w:val="BodyText"/>
      </w:pPr>
      <w:r>
        <w:t xml:space="preserve">Lovaas, I., Newsom, C., &amp; Hickman, C. (1987). Self-stimulatory behavior and perceptual reinforcement.</w:t>
      </w:r>
      <w:r>
        <w:t xml:space="preserve"> </w:t>
      </w:r>
      <w:r>
        <w:rPr>
          <w:i/>
        </w:rPr>
        <w:t xml:space="preserve">Journal of Applied Behavior Analysis, 20</w:t>
      </w:r>
      <w:r>
        <w:t xml:space="preserve">(1), 45–68. https://doi.org/10.1901/jaba.1987.20-45</w:t>
      </w:r>
    </w:p>
    <w:p>
      <w:pPr>
        <w:pStyle w:val="BodyText"/>
      </w:pPr>
      <w:r>
        <w:t xml:space="preserve">Lovaas, O. I., Litrownik, A., &amp; Mann, R. (1971). Response latencies to auditory stimuli in autistic children engaged in self-stimulatory behavior.</w:t>
      </w:r>
      <w:r>
        <w:t xml:space="preserve"> </w:t>
      </w:r>
      <w:r>
        <w:rPr>
          <w:i/>
        </w:rPr>
        <w:t xml:space="preserve">Behaviour Research and Therapy, 9</w:t>
      </w:r>
      <w:r>
        <w:t xml:space="preserve">(1), 39–49. https://doi.org/10.1016/0005-7967(71)90035-0</w:t>
      </w:r>
    </w:p>
    <w:p>
      <w:pPr>
        <w:pStyle w:val="BodyText"/>
      </w:pPr>
      <w:r>
        <w:t xml:space="preserve">MacLennan, K., Woolley, C., Andsensory, E., Heasman, B., Starns, J., George, B., &amp; Manning, C. (2023).</w:t>
      </w:r>
      <w:r>
        <w:t xml:space="preserve"> </w:t>
      </w:r>
      <w:r>
        <w:t xml:space="preserve">“</w:t>
      </w:r>
      <w:r>
        <w:t xml:space="preserve">It is a big spider web of things</w:t>
      </w:r>
      <w:r>
        <w:t xml:space="preserve">”</w:t>
      </w:r>
      <w:r>
        <w:t xml:space="preserve">: Sensory experiences of autistic adults in public spaces.</w:t>
      </w:r>
      <w:r>
        <w:t xml:space="preserve"> </w:t>
      </w:r>
      <w:r>
        <w:rPr>
          <w:i/>
        </w:rPr>
        <w:t xml:space="preserve">Autism in Adulthood, 5</w:t>
      </w:r>
      <w:r>
        <w:t xml:space="preserve">(4), 411–422. https://doi.org/10.1089/aut.2022.0024</w:t>
      </w:r>
    </w:p>
    <w:p>
      <w:pPr>
        <w:pStyle w:val="BodyText"/>
      </w:pPr>
      <w:r>
        <w:t xml:space="preserve">Maltz, M. (1960).</w:t>
      </w:r>
      <w:r>
        <w:t xml:space="preserve"> </w:t>
      </w:r>
      <w:r>
        <w:rPr>
          <w:i/>
        </w:rPr>
        <w:t xml:space="preserve">Psycho-cybernetics</w:t>
      </w:r>
      <w:r>
        <w:t xml:space="preserve">. Prentice-Hall.</w:t>
      </w:r>
    </w:p>
    <w:p>
      <w:pPr>
        <w:pStyle w:val="BodyText"/>
      </w:pPr>
      <w:r>
        <w:t xml:space="preserve">Mansell, W., &amp; Marken, R. S. (2015). The origins and future of control theory in psychology.</w:t>
      </w:r>
      <w:r>
        <w:t xml:space="preserve"> </w:t>
      </w:r>
      <w:r>
        <w:rPr>
          <w:i/>
        </w:rPr>
        <w:t xml:space="preserve">Review of General Psychology, 19</w:t>
      </w:r>
      <w:r>
        <w:t xml:space="preserve">(4), 425–430. https://doi.org/10.1037/gpr0000057</w:t>
      </w:r>
    </w:p>
    <w:p>
      <w:pPr>
        <w:pStyle w:val="BodyText"/>
      </w:pPr>
      <w:r>
        <w:t xml:space="preserve">Mansell, W., Gulrez, T., &amp; Landman, M. (2025). The prediction illusion: Perceptual control mechanisms that fool the observer.</w:t>
      </w:r>
      <w:r>
        <w:t xml:space="preserve"> </w:t>
      </w:r>
      <w:r>
        <w:rPr>
          <w:i/>
        </w:rPr>
        <w:t xml:space="preserve">Current Opinion in Behavioral Sciences, 62</w:t>
      </w:r>
      <w:r>
        <w:t xml:space="preserve">, 101488. https://doi.org/10.1016/j.cobeha.2025.101488</w:t>
      </w:r>
    </w:p>
    <w:p>
      <w:pPr>
        <w:pStyle w:val="BodyText"/>
      </w:pPr>
      <w:r>
        <w:t xml:space="preserve">Marken, R. S. (2013). Taking purpose into account in experimental psychology: Testing for controlled variables.</w:t>
      </w:r>
      <w:r>
        <w:t xml:space="preserve"> </w:t>
      </w:r>
      <w:r>
        <w:rPr>
          <w:i/>
        </w:rPr>
        <w:t xml:space="preserve">Psychological Reports, 112</w:t>
      </w:r>
      <w:r>
        <w:t xml:space="preserve">(1), 184–201. https://doi.org/10.2466/03.49.PR0.112.1.184-201</w:t>
      </w:r>
    </w:p>
    <w:p>
      <w:pPr>
        <w:pStyle w:val="BodyText"/>
      </w:pPr>
      <w:r>
        <w:t xml:space="preserve">Marken, R. S. (2014). Testing for controlled variables: A model-based approach to determining the perceptual basis of behavior.</w:t>
      </w:r>
      <w:r>
        <w:t xml:space="preserve"> </w:t>
      </w:r>
      <w:r>
        <w:rPr>
          <w:i/>
        </w:rPr>
        <w:t xml:space="preserve">Attention, Perception, &amp; Psychophysics, 76</w:t>
      </w:r>
      <w:r>
        <w:t xml:space="preserve">(1), 255–263. https://doi.org/10.3758/s13414-013-0552-8</w:t>
      </w:r>
    </w:p>
    <w:p>
      <w:pPr>
        <w:pStyle w:val="BodyText"/>
      </w:pPr>
      <w:r>
        <w:t xml:space="preserve">Marken, R. S., &amp; Mansell, W. (2013). Perceptual control as a unifying concept in psychology.</w:t>
      </w:r>
      <w:r>
        <w:t xml:space="preserve"> </w:t>
      </w:r>
      <w:r>
        <w:rPr>
          <w:i/>
        </w:rPr>
        <w:t xml:space="preserve">Review of General Psychology, 17</w:t>
      </w:r>
      <w:r>
        <w:t xml:space="preserve">(2), 190–195. https://doi.org/10.1037/a0032933</w:t>
      </w:r>
    </w:p>
    <w:p>
      <w:pPr>
        <w:pStyle w:val="BodyText"/>
      </w:pPr>
      <w:r>
        <w:t xml:space="preserve">Maxwell, J. C. (1868). On governors.</w:t>
      </w:r>
      <w:r>
        <w:t xml:space="preserve"> </w:t>
      </w:r>
      <w:r>
        <w:rPr>
          <w:i/>
        </w:rPr>
        <w:t xml:space="preserve">Proceedings of the Royal Society of London, 16</w:t>
      </w:r>
      <w:r>
        <w:t xml:space="preserve">, 270–283. https://doi.org/10.1098/rspl.1867.0055</w:t>
      </w:r>
    </w:p>
    <w:p>
      <w:pPr>
        <w:pStyle w:val="BodyText"/>
      </w:pPr>
      <w:r>
        <w:t xml:space="preserve">Mifsud, S., Thomas, D., Bowron, R., &amp; Sutherland, R. (2026). The predominant focus is still on teaching children to make requests: A systematic review of AAC for autistic adults and children.</w:t>
      </w:r>
      <w:r>
        <w:t xml:space="preserve"> </w:t>
      </w:r>
      <w:r>
        <w:rPr>
          <w:i/>
        </w:rPr>
        <w:t xml:space="preserve">International Journal of Language &amp; Communication Disorders, 61</w:t>
      </w:r>
      <w:r>
        <w:t xml:space="preserve">(3), e70251. https://doi.org/10.1111/1460-6984.70251</w:t>
      </w:r>
    </w:p>
    <w:p>
      <w:pPr>
        <w:pStyle w:val="BodyText"/>
      </w:pPr>
      <w:r>
        <w:t xml:space="preserve">Milton, D. E. M. (2012). On the ontological status of autism: The</w:t>
      </w:r>
      <w:r>
        <w:t xml:space="preserve"> </w:t>
      </w:r>
      <w:r>
        <w:t xml:space="preserve">‘</w:t>
      </w:r>
      <w:r>
        <w:t xml:space="preserve">double empathy problem</w:t>
      </w:r>
      <w:r>
        <w:t xml:space="preserve">’</w:t>
      </w:r>
      <w:r>
        <w:t xml:space="preserve">.</w:t>
      </w:r>
      <w:r>
        <w:t xml:space="preserve"> </w:t>
      </w:r>
      <w:r>
        <w:rPr>
          <w:i/>
        </w:rPr>
        <w:t xml:space="preserve">Disability &amp; Society, 27</w:t>
      </w:r>
      <w:r>
        <w:t xml:space="preserve">(6), 883–887. https://doi.org/10.1080/09687599.2012.710008</w:t>
      </w:r>
    </w:p>
    <w:p>
      <w:pPr>
        <w:pStyle w:val="BodyText"/>
      </w:pPr>
      <w:r>
        <w:t xml:space="preserve">Mosconi, M. W., Mohanty, S., Greene, R. K., Cook, E. H., Vaillancourt, D. E., &amp; Sweeney, J. A. (2015). Feedforward and feedback motor control abnormalities implicate cerebellar dysfunctions in autism spectrum disorder.</w:t>
      </w:r>
      <w:r>
        <w:t xml:space="preserve"> </w:t>
      </w:r>
      <w:r>
        <w:rPr>
          <w:i/>
        </w:rPr>
        <w:t xml:space="preserve">The Journal of Neuroscience, 35</w:t>
      </w:r>
      <w:r>
        <w:t xml:space="preserve">(5), 2015–2025. https://doi.org/10.1523/JNEUROSCI.2731-14.2015</w:t>
      </w:r>
    </w:p>
    <w:p>
      <w:pPr>
        <w:pStyle w:val="BodyText"/>
      </w:pPr>
      <w:r>
        <w:t xml:space="preserve">Murray, D., Lesser, M., &amp; Lawson, W. (2005). Attention, monotropism and the diagnostic criteria for autism.</w:t>
      </w:r>
      <w:r>
        <w:t xml:space="preserve"> </w:t>
      </w:r>
      <w:r>
        <w:rPr>
          <w:i/>
        </w:rPr>
        <w:t xml:space="preserve">Autism, 9</w:t>
      </w:r>
      <w:r>
        <w:t xml:space="preserve">(2), 139–156. https://doi.org/10.1177/1362361305051398</w:t>
      </w:r>
    </w:p>
    <w:p>
      <w:pPr>
        <w:pStyle w:val="BodyText"/>
      </w:pPr>
      <w:r>
        <w:t xml:space="preserve">Öst, L.-G., Havnen, A., Hansen, B., &amp; Kvale, G. (2015). Cognitive behavioral treatments of obsessive-compulsive disorder: A systematic review and meta-analysis of studies published 1993–2014.</w:t>
      </w:r>
      <w:r>
        <w:t xml:space="preserve"> </w:t>
      </w:r>
      <w:r>
        <w:rPr>
          <w:i/>
        </w:rPr>
        <w:t xml:space="preserve">Clinical Psychology Review, 40</w:t>
      </w:r>
      <w:r>
        <w:t xml:space="preserve">, 156–169. https://doi.org/10.1016/j.cpr.2015.06.003</w:t>
      </w:r>
    </w:p>
    <w:p>
      <w:pPr>
        <w:pStyle w:val="BodyText"/>
      </w:pPr>
      <w:r>
        <w:t xml:space="preserve">Ougrin, D. (2011). Efficacy of exposure versus cognitive therapy in anxiety disorders: Systematic review and meta-analysis.</w:t>
      </w:r>
      <w:r>
        <w:t xml:space="preserve"> </w:t>
      </w:r>
      <w:r>
        <w:rPr>
          <w:i/>
        </w:rPr>
        <w:t xml:space="preserve">BMC Psychiatry, 11</w:t>
      </w:r>
      <w:r>
        <w:t xml:space="preserve">, 200. https://doi.org/10.1186/1471-244X-11-200</w:t>
      </w:r>
    </w:p>
    <w:p>
      <w:pPr>
        <w:pStyle w:val="BodyText"/>
      </w:pPr>
      <w:r>
        <w:t xml:space="preserve">Pareés, I., Brown, H., Nuruki, A., Adams, R. A., Davare, M., Bhatia, K. P., Friston, K., &amp; Edwards, M. J. (2014). Loss of sensory attenuation in patients with functional (psychogenic) movement disorders.</w:t>
      </w:r>
      <w:r>
        <w:t xml:space="preserve"> </w:t>
      </w:r>
      <w:r>
        <w:rPr>
          <w:i/>
        </w:rPr>
        <w:t xml:space="preserve">Brain, 137</w:t>
      </w:r>
      <w:r>
        <w:t xml:space="preserve">(11), 2916–2921. https://doi.org/10.1093/brain/awu237</w:t>
      </w:r>
    </w:p>
    <w:p>
      <w:pPr>
        <w:pStyle w:val="BodyText"/>
      </w:pPr>
      <w:r>
        <w:t xml:space="preserve">Parr, T., &amp; Friston, K. J. (2017). Uncertainty, epistemics and active inference.</w:t>
      </w:r>
      <w:r>
        <w:t xml:space="preserve"> </w:t>
      </w:r>
      <w:r>
        <w:rPr>
          <w:i/>
        </w:rPr>
        <w:t xml:space="preserve">Journal of the Royal Society Interface, 14</w:t>
      </w:r>
      <w:r>
        <w:t xml:space="preserve">(136), 20170376. https://doi.org/10.1098/rsif.2017.0376</w:t>
      </w:r>
    </w:p>
    <w:p>
      <w:pPr>
        <w:pStyle w:val="BodyText"/>
      </w:pPr>
      <w:r>
        <w:t xml:space="preserve">Paulus, M. P., &amp; Stein, M. B. (2006). An insular view of anxiety.</w:t>
      </w:r>
      <w:r>
        <w:t xml:space="preserve"> </w:t>
      </w:r>
      <w:r>
        <w:rPr>
          <w:i/>
        </w:rPr>
        <w:t xml:space="preserve">Biological Psychiatry, 60</w:t>
      </w:r>
      <w:r>
        <w:t xml:space="preserve">(4), 383–387. https://doi.org/10.1016/j.biopsych.2006.03.042</w:t>
      </w:r>
    </w:p>
    <w:p>
      <w:pPr>
        <w:pStyle w:val="BodyText"/>
      </w:pPr>
      <w:r>
        <w:t xml:space="preserve">Pellicano, E., &amp; den Houting, J. (2022). Annual Research Review: Shifting from</w:t>
      </w:r>
      <w:r>
        <w:t xml:space="preserve"> </w:t>
      </w:r>
      <w:r>
        <w:t xml:space="preserve">‘</w:t>
      </w:r>
      <w:r>
        <w:t xml:space="preserve">normal science</w:t>
      </w:r>
      <w:r>
        <w:t xml:space="preserve">’</w:t>
      </w:r>
      <w:r>
        <w:t xml:space="preserve"> </w:t>
      </w:r>
      <w:r>
        <w:t xml:space="preserve">to neurodiversity in autism science.</w:t>
      </w:r>
      <w:r>
        <w:t xml:space="preserve"> </w:t>
      </w:r>
      <w:r>
        <w:rPr>
          <w:i/>
        </w:rPr>
        <w:t xml:space="preserve">Journal of Child Psychology and Psychiatry, 63</w:t>
      </w:r>
      <w:r>
        <w:t xml:space="preserve">(4), 381–396. https://doi.org/10.1111/jcpp.13534</w:t>
      </w:r>
    </w:p>
    <w:p>
      <w:pPr>
        <w:pStyle w:val="BodyText"/>
      </w:pPr>
      <w:r>
        <w:t xml:space="preserve">Perihan, C., Burke, M., Bowman-Perrott, L., Bicer, A., Gallup, J., Thompson, J., &amp; Sallese, M. (2020). Effects of cognitive behavioral therapy for reducing anxiety in children with high functioning ASD: A systematic review and meta-analysis.</w:t>
      </w:r>
      <w:r>
        <w:t xml:space="preserve"> </w:t>
      </w:r>
      <w:r>
        <w:rPr>
          <w:i/>
        </w:rPr>
        <w:t xml:space="preserve">Journal of Autism and Developmental Disorders, 50</w:t>
      </w:r>
      <w:r>
        <w:t xml:space="preserve">(6), 1958–1972. https://doi.org/10.1007/s10803-019-03949-7</w:t>
      </w:r>
    </w:p>
    <w:p>
      <w:pPr>
        <w:pStyle w:val="BodyText"/>
      </w:pPr>
      <w:r>
        <w:t xml:space="preserve">Perry, E., Mandy, W., Hull, L., &amp; Cage, E. (2022). Understanding camouflaging as a response to autism-related stigma: A social identity theory approach.</w:t>
      </w:r>
      <w:r>
        <w:t xml:space="preserve"> </w:t>
      </w:r>
      <w:r>
        <w:rPr>
          <w:i/>
        </w:rPr>
        <w:t xml:space="preserve">Journal of Autism and Developmental Disorders, 52</w:t>
      </w:r>
      <w:r>
        <w:t xml:space="preserve">(2), 800–810. https://doi.org/10.1007/s10803-021-04987-w</w:t>
      </w:r>
    </w:p>
    <w:p>
      <w:pPr>
        <w:pStyle w:val="BodyText"/>
      </w:pPr>
      <w:r>
        <w:t xml:space="preserve">Pettinato, F., Valle, M. S., Cioni, M., Cirnigliaro, L., Rizzo, R., Barone, R., Bosco, G., &amp; Casabona, A. (2024). Dynamical complexity of postural control system in autism spectrum disorder: A feasibility study of linear and non-linear measures in posturographic analysis of upright posture.</w:t>
      </w:r>
      <w:r>
        <w:t xml:space="preserve"> </w:t>
      </w:r>
      <w:r>
        <w:rPr>
          <w:i/>
        </w:rPr>
        <w:t xml:space="preserve">Journal of NeuroEngineering and Rehabilitation, 21</w:t>
      </w:r>
      <w:r>
        <w:t xml:space="preserve">(1), 225. https://doi.org/10.1186/s12984-024-01520-9</w:t>
      </w:r>
    </w:p>
    <w:p>
      <w:pPr>
        <w:pStyle w:val="BodyText"/>
      </w:pPr>
      <w:r>
        <w:t xml:space="preserve">Petzschner, F. H., Weber, L. A. E., Gard, T., &amp; Stephan, K. E. (2017). Computational psychosomatics and computational psychiatry: Toward a joint framework for differential diagnosis.</w:t>
      </w:r>
      <w:r>
        <w:t xml:space="preserve"> </w:t>
      </w:r>
      <w:r>
        <w:rPr>
          <w:i/>
        </w:rPr>
        <w:t xml:space="preserve">Biological Psychiatry, 82</w:t>
      </w:r>
      <w:r>
        <w:t xml:space="preserve">(6), 421–430. https://doi.org/10.1016/j.biopsych.2017.05.012</w:t>
      </w:r>
    </w:p>
    <w:p>
      <w:pPr>
        <w:pStyle w:val="BodyText"/>
      </w:pPr>
      <w:r>
        <w:t xml:space="preserve">Pezzulo, G., Rigoli, F., &amp; Friston, K. (2015). Active inference, homeostatic regulation and adaptive behavioural control.</w:t>
      </w:r>
      <w:r>
        <w:t xml:space="preserve"> </w:t>
      </w:r>
      <w:r>
        <w:rPr>
          <w:i/>
        </w:rPr>
        <w:t xml:space="preserve">Progress in Neurobiology, 134</w:t>
      </w:r>
      <w:r>
        <w:t xml:space="preserve">, 17–35. https://doi.org/10.1016/j.pneurobio.2015.09.001</w:t>
      </w:r>
    </w:p>
    <w:p>
      <w:pPr>
        <w:pStyle w:val="BodyText"/>
      </w:pPr>
      <w:r>
        <w:t xml:space="preserve">Phung, J., Penner, M., Pirlot, C., &amp; Welch, C. (2021). What I wish you knew: Insights on burnout, inertia, meltdown, and shutdown from autistic youth.</w:t>
      </w:r>
      <w:r>
        <w:t xml:space="preserve"> </w:t>
      </w:r>
      <w:r>
        <w:rPr>
          <w:i/>
        </w:rPr>
        <w:t xml:space="preserve">Frontiers in Psychology, 12</w:t>
      </w:r>
      <w:r>
        <w:t xml:space="preserve">, 741421. https://doi.org/10.3389/fpsyg.2021.741421</w:t>
      </w:r>
    </w:p>
    <w:p>
      <w:pPr>
        <w:pStyle w:val="BodyText"/>
      </w:pPr>
      <w:r>
        <w:t xml:space="preserve">Plank, I. S., Pior, A., Yurova, A., Nowak, J., Shi, Z., &amp; Falter-Wagner, C. M. (2026). Predicting emotional valence in autism: A preregistered study in the Bayesian Brain framework.</w:t>
      </w:r>
      <w:r>
        <w:t xml:space="preserve"> </w:t>
      </w:r>
      <w:r>
        <w:rPr>
          <w:i/>
        </w:rPr>
        <w:t xml:space="preserve">Molecular Autism, 17</w:t>
      </w:r>
      <w:r>
        <w:t xml:space="preserve">(1), 32. https://doi.org/10.1186/s13229-026-00730-3</w:t>
      </w:r>
    </w:p>
    <w:p>
      <w:pPr>
        <w:pStyle w:val="BodyText"/>
      </w:pPr>
      <w:r>
        <w:t xml:space="preserve">Popper, K. R. (2002).</w:t>
      </w:r>
      <w:r>
        <w:t xml:space="preserve"> </w:t>
      </w:r>
      <w:r>
        <w:rPr>
          <w:i/>
        </w:rPr>
        <w:t xml:space="preserve">The logic of scientific discovery</w:t>
      </w:r>
      <w:r>
        <w:t xml:space="preserve">. Routledge. (Original work published 1935)</w:t>
      </w:r>
    </w:p>
    <w:p>
      <w:pPr>
        <w:pStyle w:val="BodyText"/>
      </w:pPr>
      <w:r>
        <w:t xml:space="preserve">Powers, A. R., Mathys, C., &amp; Corlett, P. R. (2017). Pavlovian conditioning-induced hallucinations result from overweighting of perceptual priors.</w:t>
      </w:r>
      <w:r>
        <w:t xml:space="preserve"> </w:t>
      </w:r>
      <w:r>
        <w:rPr>
          <w:i/>
        </w:rPr>
        <w:t xml:space="preserve">Science, 357</w:t>
      </w:r>
      <w:r>
        <w:t xml:space="preserve">(6351), 596–600. https://doi.org/10.1126/science.aan3458</w:t>
      </w:r>
    </w:p>
    <w:p>
      <w:pPr>
        <w:pStyle w:val="BodyText"/>
      </w:pPr>
      <w:r>
        <w:t xml:space="preserve">Powers, W. T. (1973a).</w:t>
      </w:r>
      <w:r>
        <w:t xml:space="preserve"> </w:t>
      </w:r>
      <w:r>
        <w:rPr>
          <w:i/>
        </w:rPr>
        <w:t xml:space="preserve">Behavior: The control of perception</w:t>
      </w:r>
      <w:r>
        <w:t xml:space="preserve">. Aldine.</w:t>
      </w:r>
    </w:p>
    <w:p>
      <w:pPr>
        <w:pStyle w:val="BodyText"/>
      </w:pPr>
      <w:r>
        <w:t xml:space="preserve">Powers, W. T. (1973b). Feedback: Beyond behaviorism.</w:t>
      </w:r>
      <w:r>
        <w:t xml:space="preserve"> </w:t>
      </w:r>
      <w:r>
        <w:rPr>
          <w:i/>
        </w:rPr>
        <w:t xml:space="preserve">Science, 179</w:t>
      </w:r>
      <w:r>
        <w:t xml:space="preserve">(4071), 351–356. https://doi.org/10.1126/science.179.4071.351</w:t>
      </w:r>
    </w:p>
    <w:p>
      <w:pPr>
        <w:pStyle w:val="BodyText"/>
      </w:pPr>
      <w:r>
        <w:t xml:space="preserve">Powers, W. T. (1978). Quantitative analysis of purposive systems: Some spadework at the foundations of scientific psychology.</w:t>
      </w:r>
      <w:r>
        <w:t xml:space="preserve"> </w:t>
      </w:r>
      <w:r>
        <w:rPr>
          <w:i/>
        </w:rPr>
        <w:t xml:space="preserve">Psychological Review, 85</w:t>
      </w:r>
      <w:r>
        <w:t xml:space="preserve">(5), 417–435. https://doi.org/10.1037/0033-295X.85.5.417</w:t>
      </w:r>
    </w:p>
    <w:p>
      <w:pPr>
        <w:pStyle w:val="BodyText"/>
      </w:pPr>
      <w:r>
        <w:t xml:space="preserve">Powers, W. T., Clark, R. K., &amp; McFarland, R. L. (1960). A general feedback theory of human behavior: Part I.</w:t>
      </w:r>
      <w:r>
        <w:t xml:space="preserve"> </w:t>
      </w:r>
      <w:r>
        <w:rPr>
          <w:i/>
        </w:rPr>
        <w:t xml:space="preserve">Perceptual and Motor Skills, 11</w:t>
      </w:r>
      <w:r>
        <w:t xml:space="preserve">(1), 71–88. https://doi.org/10.2466/pms.1960.11.1.71</w:t>
      </w:r>
    </w:p>
    <w:p>
      <w:pPr>
        <w:pStyle w:val="BodyText"/>
      </w:pPr>
      <w:r>
        <w:t xml:space="preserve">Rachman, S., Radomsky, A. S., &amp; Shafran, R. (2008). Safety behaviour: A reconsideration.</w:t>
      </w:r>
      <w:r>
        <w:t xml:space="preserve"> </w:t>
      </w:r>
      <w:r>
        <w:rPr>
          <w:i/>
        </w:rPr>
        <w:t xml:space="preserve">Behaviour Research and Therapy, 46</w:t>
      </w:r>
      <w:r>
        <w:t xml:space="preserve">(2), 163–173. https://doi.org/10.1016/j.brat.2007.11.008</w:t>
      </w:r>
    </w:p>
    <w:p>
      <w:pPr>
        <w:pStyle w:val="BodyText"/>
      </w:pPr>
      <w:r>
        <w:t xml:space="preserve">Rao, R. P. N., &amp; Ballard, D. H. (1999). Predictive coding in the visual cortex: A functional interpretation of some extra-classical receptive-field effects.</w:t>
      </w:r>
      <w:r>
        <w:t xml:space="preserve"> </w:t>
      </w:r>
      <w:r>
        <w:rPr>
          <w:i/>
        </w:rPr>
        <w:t xml:space="preserve">Nature Neuroscience, 2</w:t>
      </w:r>
      <w:r>
        <w:t xml:space="preserve">(1), 79–87. https://doi.org/10.1038/4580</w:t>
      </w:r>
    </w:p>
    <w:p>
      <w:pPr>
        <w:pStyle w:val="BodyText"/>
      </w:pPr>
      <w:r>
        <w:t xml:space="preserve">Rapaport, H., Clapham, H., Adams, J., Lawson, W., Porayska-Pomsta, K., &amp; Pellicano, E. (2024).</w:t>
      </w:r>
      <w:r>
        <w:t xml:space="preserve"> </w:t>
      </w:r>
      <w:r>
        <w:t xml:space="preserve">“</w:t>
      </w:r>
      <w:r>
        <w:t xml:space="preserve">In a state of flow</w:t>
      </w:r>
      <w:r>
        <w:t xml:space="preserve">”</w:t>
      </w:r>
      <w:r>
        <w:t xml:space="preserve">: A qualitative examination of autistic adults’ phenomenological experiences of task immersion.</w:t>
      </w:r>
      <w:r>
        <w:t xml:space="preserve"> </w:t>
      </w:r>
      <w:r>
        <w:rPr>
          <w:i/>
        </w:rPr>
        <w:t xml:space="preserve">Autism in Adulthood, 6</w:t>
      </w:r>
      <w:r>
        <w:t xml:space="preserve">(3), 362–373. https://doi.org/10.1089/aut.2023.0032</w:t>
      </w:r>
    </w:p>
    <w:p>
      <w:pPr>
        <w:pStyle w:val="BodyText"/>
      </w:pPr>
      <w:r>
        <w:t xml:space="preserve">Raymaker, D. M., Teo, A. R., Steckler, N. A., Lentz, B., Scharer, M., Delos Santos, A., Kapp, S. K., Hunter, M., Joyce, A., &amp; Nicolaidis, C. (2020).</w:t>
      </w:r>
      <w:r>
        <w:t xml:space="preserve"> </w:t>
      </w:r>
      <w:r>
        <w:t xml:space="preserve">“</w:t>
      </w:r>
      <w:r>
        <w:t xml:space="preserve">Having all of your internal resources exhausted beyond measure and being left with no clean-up crew</w:t>
      </w:r>
      <w:r>
        <w:t xml:space="preserve">”</w:t>
      </w:r>
      <w:r>
        <w:t xml:space="preserve">: Defining autistic burnout.</w:t>
      </w:r>
      <w:r>
        <w:t xml:space="preserve"> </w:t>
      </w:r>
      <w:r>
        <w:rPr>
          <w:i/>
        </w:rPr>
        <w:t xml:space="preserve">Autism in Adulthood, 2</w:t>
      </w:r>
      <w:r>
        <w:t xml:space="preserve">(2), 132–143. https://doi.org/10.1089/aut.2019.0079</w:t>
      </w:r>
    </w:p>
    <w:p>
      <w:pPr>
        <w:pStyle w:val="BodyText"/>
      </w:pPr>
      <w:r>
        <w:t xml:space="preserve">Reichow, B., Hume, K., Barton, E. E., &amp; Boyd, B. A. (2018). Early intensive behavioral intervention (EIBI) for young children with autism spectrum disorders (ASD).</w:t>
      </w:r>
      <w:r>
        <w:t xml:space="preserve"> </w:t>
      </w:r>
      <w:r>
        <w:rPr>
          <w:i/>
        </w:rPr>
        <w:t xml:space="preserve">Cochrane Database of Systematic Reviews, 5</w:t>
      </w:r>
      <w:r>
        <w:t xml:space="preserve">, CD009260. https://doi.org/10.1002/14651858.CD009260.pub3</w:t>
      </w:r>
    </w:p>
    <w:p>
      <w:pPr>
        <w:pStyle w:val="BodyText"/>
      </w:pPr>
      <w:r>
        <w:t xml:space="preserve">Rescorla, R. A. (1972). Informational variables in Pavlovian conditioning.</w:t>
      </w:r>
      <w:r>
        <w:t xml:space="preserve"> </w:t>
      </w:r>
      <w:r>
        <w:rPr>
          <w:i/>
        </w:rPr>
        <w:t xml:space="preserve">Psychology of Learning and Motivation, 6</w:t>
      </w:r>
      <w:r>
        <w:t xml:space="preserve">, 1–46. https://doi.org/10.1016/S0079-7421(08)60383-7</w:t>
      </w:r>
    </w:p>
    <w:p>
      <w:pPr>
        <w:pStyle w:val="BodyText"/>
      </w:pPr>
      <w:r>
        <w:t xml:space="preserve">Rosenblueth, A., Wiener, N., &amp; Bigelow, J. (1943). Behavior, purpose and teleology.</w:t>
      </w:r>
      <w:r>
        <w:t xml:space="preserve"> </w:t>
      </w:r>
      <w:r>
        <w:rPr>
          <w:i/>
        </w:rPr>
        <w:t xml:space="preserve">Philosophy of Science, 10</w:t>
      </w:r>
      <w:r>
        <w:t xml:space="preserve">(1), 18–24. https://doi.org/10.1086/286788</w:t>
      </w:r>
    </w:p>
    <w:p>
      <w:pPr>
        <w:pStyle w:val="BodyText"/>
      </w:pPr>
      <w:r>
        <w:t xml:space="preserve">Rossignol, D. A., &amp; Frye, R. E. (2011). Melatonin in autism spectrum disorders: A systematic review and meta-analysis.</w:t>
      </w:r>
      <w:r>
        <w:t xml:space="preserve"> </w:t>
      </w:r>
      <w:r>
        <w:rPr>
          <w:i/>
        </w:rPr>
        <w:t xml:space="preserve">Developmental Medicine &amp; Child Neurology, 53</w:t>
      </w:r>
      <w:r>
        <w:t xml:space="preserve">(9), 783–792. https://doi.org/10.1111/j.1469-8749.2011.03980.x</w:t>
      </w:r>
    </w:p>
    <w:p>
      <w:pPr>
        <w:pStyle w:val="BodyText"/>
      </w:pPr>
      <w:r>
        <w:t xml:space="preserve">Rozin, P. (1968). Are carbohydrate and protein intakes separately regulated?</w:t>
      </w:r>
      <w:r>
        <w:t xml:space="preserve"> </w:t>
      </w:r>
      <w:r>
        <w:rPr>
          <w:i/>
        </w:rPr>
        <w:t xml:space="preserve">Journal of Comparative and Physiological Psychology, 65</w:t>
      </w:r>
      <w:r>
        <w:t xml:space="preserve">(1), 23–29. https://doi.org/10.1037/h0025404</w:t>
      </w:r>
    </w:p>
    <w:p>
      <w:pPr>
        <w:pStyle w:val="BodyText"/>
      </w:pPr>
      <w:r>
        <w:t xml:space="preserve">Russell, A. J., Jassi, A., Fullana, M. A., Mack, H., Johnston, K., Heyman, I., Murphy, D. G., &amp; Mataix-Cols, D. (2013). Cognitive behavior therapy for comorbid obsessive-compulsive disorder in high-functioning autism spectrum disorders: A randomized controlled trial.</w:t>
      </w:r>
      <w:r>
        <w:t xml:space="preserve"> </w:t>
      </w:r>
      <w:r>
        <w:rPr>
          <w:i/>
        </w:rPr>
        <w:t xml:space="preserve">Depression and Anxiety, 30</w:t>
      </w:r>
      <w:r>
        <w:t xml:space="preserve">(8), 697–708. https://doi.org/10.1002/da.22053</w:t>
      </w:r>
    </w:p>
    <w:p>
      <w:pPr>
        <w:pStyle w:val="BodyText"/>
      </w:pPr>
      <w:r>
        <w:t xml:space="preserve">Salkovskis, P. M. (1991). The importance of behaviour in the maintenance of anxiety and panic: A cognitive account.</w:t>
      </w:r>
      <w:r>
        <w:t xml:space="preserve"> </w:t>
      </w:r>
      <w:r>
        <w:rPr>
          <w:i/>
        </w:rPr>
        <w:t xml:space="preserve">Behavioural Psychotherapy, 19</w:t>
      </w:r>
      <w:r>
        <w:t xml:space="preserve">(1), 6–19. https://doi.org/10.1017/S0141347300011472</w:t>
      </w:r>
    </w:p>
    <w:p>
      <w:pPr>
        <w:pStyle w:val="BodyText"/>
      </w:pPr>
      <w:r>
        <w:t xml:space="preserve">Salkovskis, P. M., Clark, D. M., &amp; Hackmann, A. (1991). Treatment of panic attacks using cognitive therapy without exposure or breathing retraining.</w:t>
      </w:r>
      <w:r>
        <w:t xml:space="preserve"> </w:t>
      </w:r>
      <w:r>
        <w:rPr>
          <w:i/>
        </w:rPr>
        <w:t xml:space="preserve">Behaviour Research and Therapy, 29</w:t>
      </w:r>
      <w:r>
        <w:t xml:space="preserve">(2), 161–166. https://doi.org/10.1016/0005-7967(91)90044-4</w:t>
      </w:r>
    </w:p>
    <w:p>
      <w:pPr>
        <w:pStyle w:val="BodyText"/>
      </w:pPr>
      <w:r>
        <w:t xml:space="preserve">Salkovskis, P. M., Clark, D. M., Hackmann, A., Wells, A., &amp; Gelder, M. G. (1999). An experimental investigation of the role of safety-seeking behaviours in the maintenance of panic disorder with agoraphobia.</w:t>
      </w:r>
      <w:r>
        <w:t xml:space="preserve"> </w:t>
      </w:r>
      <w:r>
        <w:rPr>
          <w:i/>
        </w:rPr>
        <w:t xml:space="preserve">Behaviour Research and Therapy, 37</w:t>
      </w:r>
      <w:r>
        <w:t xml:space="preserve">(6), 559–574. https://doi.org/10.1016/S0005-7967(98)00153-3</w:t>
      </w:r>
    </w:p>
    <w:p>
      <w:pPr>
        <w:pStyle w:val="BodyText"/>
      </w:pPr>
      <w:r>
        <w:t xml:space="preserve">Sandbank, M., Bottema-Beutel, K., Crowley, S., Cassidy, M., Dunham, K., Feldman, J. I., Crank, J., Albarran, S. A., Raj, S., Mahbub, P., &amp; Woynaroski, T. G. (2020). Project AIM: Autism intervention meta-analysis for studies of young children.</w:t>
      </w:r>
      <w:r>
        <w:t xml:space="preserve"> </w:t>
      </w:r>
      <w:r>
        <w:rPr>
          <w:i/>
        </w:rPr>
        <w:t xml:space="preserve">Psychological Bulletin, 146</w:t>
      </w:r>
      <w:r>
        <w:t xml:space="preserve">(1), 1–29. https://doi.org/10.1037/bul0000215</w:t>
      </w:r>
    </w:p>
    <w:p>
      <w:pPr>
        <w:pStyle w:val="BodyText"/>
      </w:pPr>
      <w:r>
        <w:t xml:space="preserve">Sapey-Triomphe, L.-A., Bouet, R., Mattout, J., Sonié, S., Schmitz, C., &amp; Lecaignard, F. (2025). Systematic review and meta-analysis of mismatch negativity in autism: Insights into predictive mechanisms.</w:t>
      </w:r>
      <w:r>
        <w:t xml:space="preserve"> </w:t>
      </w:r>
      <w:r>
        <w:rPr>
          <w:i/>
        </w:rPr>
        <w:t xml:space="preserve">Autism Research, 18</w:t>
      </w:r>
      <w:r>
        <w:t xml:space="preserve">(12), 2431–2450. https://doi.org/10.1002/aur.70131</w:t>
      </w:r>
    </w:p>
    <w:p>
      <w:pPr>
        <w:pStyle w:val="BodyText"/>
      </w:pPr>
      <w:r>
        <w:t xml:space="preserve">Schaaf, R. C., Ridgway, E. M., Jones, E. A., Dumont, R. L., Foxe, J., Conly, T., Sancimino, C., Yi, M., Mailloux, Z., Hunt, J. M., Kirschner, L., Leiby, B. E., &amp; Molholm, S. (2025). A comparative trial of occupational therapy using Ayres Sensory Integration and Applied Behavior Analysis interventions for autistic children.</w:t>
      </w:r>
      <w:r>
        <w:t xml:space="preserve"> </w:t>
      </w:r>
      <w:r>
        <w:rPr>
          <w:i/>
        </w:rPr>
        <w:t xml:space="preserve">Autism Research, 18</w:t>
      </w:r>
      <w:r>
        <w:t xml:space="preserve">(10), 2120–2134. https://doi.org/10.1002/aur.70099</w:t>
      </w:r>
    </w:p>
    <w:p>
      <w:pPr>
        <w:pStyle w:val="BodyText"/>
      </w:pPr>
      <w:r>
        <w:t xml:space="preserve">Schultz, W., Dayan, P., &amp; Montague, P. R. (1997). A neural substrate of prediction and reward.</w:t>
      </w:r>
      <w:r>
        <w:t xml:space="preserve"> </w:t>
      </w:r>
      <w:r>
        <w:rPr>
          <w:i/>
        </w:rPr>
        <w:t xml:space="preserve">Science, 275</w:t>
      </w:r>
      <w:r>
        <w:t xml:space="preserve">(5306), 1593–1599. https://doi.org/10.1126/science.275.5306.1593</w:t>
      </w:r>
    </w:p>
    <w:p>
      <w:pPr>
        <w:pStyle w:val="BodyText"/>
      </w:pPr>
      <w:r>
        <w:t xml:space="preserve">Schwartz, S., Shinn-Cunningham, B., &amp; Tager-Flusberg, H. (2018). Meta-analysis and systematic review of the literature characterizing auditory mismatch negativity in individuals with autism.</w:t>
      </w:r>
      <w:r>
        <w:t xml:space="preserve"> </w:t>
      </w:r>
      <w:r>
        <w:rPr>
          <w:i/>
        </w:rPr>
        <w:t xml:space="preserve">Neuroscience &amp; Biobehavioral Reviews, 87</w:t>
      </w:r>
      <w:r>
        <w:t xml:space="preserve">, 106–117. https://doi.org/10.1016/j.neubiorev.2018.01.008</w:t>
      </w:r>
    </w:p>
    <w:p>
      <w:pPr>
        <w:pStyle w:val="BodyText"/>
      </w:pPr>
      <w:r>
        <w:t xml:space="preserve">Sennesh, E., Theriault, J., Brooks, D., van de Meent, J.-W., Barrett, L. F., &amp; Quigley, K. S. (2022). Interoception as modeling, allostasis as control.</w:t>
      </w:r>
      <w:r>
        <w:t xml:space="preserve"> </w:t>
      </w:r>
      <w:r>
        <w:rPr>
          <w:i/>
        </w:rPr>
        <w:t xml:space="preserve">Biological Psychology, 167</w:t>
      </w:r>
      <w:r>
        <w:t xml:space="preserve">, 108242. https://doi.org/10.1016/j.biopsycho.2021.108242</w:t>
      </w:r>
    </w:p>
    <w:p>
      <w:pPr>
        <w:pStyle w:val="BodyText"/>
      </w:pPr>
      <w:r>
        <w:t xml:space="preserve">Seth, A. K. (2013). Interoceptive inference, emotion, and the embodied self.</w:t>
      </w:r>
      <w:r>
        <w:t xml:space="preserve"> </w:t>
      </w:r>
      <w:r>
        <w:rPr>
          <w:i/>
        </w:rPr>
        <w:t xml:space="preserve">Trends in Cognitive Sciences, 17</w:t>
      </w:r>
      <w:r>
        <w:t xml:space="preserve">(11), 565–573. https://doi.org/10.1016/j.tics.2013.09.007</w:t>
      </w:r>
    </w:p>
    <w:p>
      <w:pPr>
        <w:pStyle w:val="BodyText"/>
      </w:pPr>
      <w:r>
        <w:t xml:space="preserve">Seth, A. K., &amp; Friston, K. J. (2016). Active interoceptive inference and the emotional brain.</w:t>
      </w:r>
      <w:r>
        <w:t xml:space="preserve"> </w:t>
      </w:r>
      <w:r>
        <w:rPr>
          <w:i/>
        </w:rPr>
        <w:t xml:space="preserve">Philosophical Transactions of the Royal Society B: Biological Sciences, 371</w:t>
      </w:r>
      <w:r>
        <w:t xml:space="preserve">(1708), 20160007. https://doi.org/10.1098/rstb.2016.0007</w:t>
      </w:r>
    </w:p>
    <w:p>
      <w:pPr>
        <w:pStyle w:val="BodyText"/>
      </w:pPr>
      <w:r>
        <w:t xml:space="preserve">Seth, A. K., Millidge, B., Buckley, C. L., &amp; Tschantz, A. (2020). Curious inferences: Reply to Sun and Firestone on the dark room problem.</w:t>
      </w:r>
      <w:r>
        <w:t xml:space="preserve"> </w:t>
      </w:r>
      <w:r>
        <w:rPr>
          <w:i/>
        </w:rPr>
        <w:t xml:space="preserve">Trends in Cognitive Sciences, 24</w:t>
      </w:r>
      <w:r>
        <w:t xml:space="preserve">(9), 681–683. https://doi.org/10.1016/j.tics.2020.05.011</w:t>
      </w:r>
    </w:p>
    <w:p>
      <w:pPr>
        <w:pStyle w:val="BodyText"/>
      </w:pPr>
      <w:r>
        <w:t xml:space="preserve">Shafer, R. L., Bartolotti, J., Driggers, A., Bojanek, E., Wang, Z., &amp; Mosconi, M. W. (2025). Visual feedback and motor memory contributions to sustained motor control deficits in autism spectrum disorder across childhood and into adulthood.</w:t>
      </w:r>
      <w:r>
        <w:t xml:space="preserve"> </w:t>
      </w:r>
      <w:r>
        <w:rPr>
          <w:i/>
        </w:rPr>
        <w:t xml:space="preserve">Journal of Neurodevelopmental Disorders, 17</w:t>
      </w:r>
      <w:r>
        <w:t xml:space="preserve">(1), 26. https://doi.org/10.1186/s11689-025-09607-7</w:t>
      </w:r>
    </w:p>
    <w:p>
      <w:pPr>
        <w:pStyle w:val="BodyText"/>
      </w:pPr>
      <w:r>
        <w:t xml:space="preserve">Shafer, R. L., Wang, Z., Bartolotti, J., &amp; Mosconi, M. W. (2021). Visual and somatosensory feedback mechanisms of precision manual motor control in autism spectrum disorder.</w:t>
      </w:r>
      <w:r>
        <w:t xml:space="preserve"> </w:t>
      </w:r>
      <w:r>
        <w:rPr>
          <w:i/>
        </w:rPr>
        <w:t xml:space="preserve">Journal of Neurodevelopmental Disorders, 13</w:t>
      </w:r>
      <w:r>
        <w:t xml:space="preserve">(1), 32. https://doi.org/10.1186/s11689-021-09381-2</w:t>
      </w:r>
    </w:p>
    <w:p>
      <w:pPr>
        <w:pStyle w:val="BodyText"/>
      </w:pPr>
      <w:r>
        <w:t xml:space="preserve">Sharma, S., Hucker, A., Matthews, T., Grohmann, D., &amp; Laws, K. R. (2021). Cognitive behavioural therapy for anxiety in children and young people on the autism spectrum: A systematic review and meta-analysis.</w:t>
      </w:r>
      <w:r>
        <w:t xml:space="preserve"> </w:t>
      </w:r>
      <w:r>
        <w:rPr>
          <w:i/>
        </w:rPr>
        <w:t xml:space="preserve">BMC Psychology, 9</w:t>
      </w:r>
      <w:r>
        <w:t xml:space="preserve">(1), 151. https://doi.org/10.1186/s40359-021-00658-8</w:t>
      </w:r>
    </w:p>
    <w:p>
      <w:pPr>
        <w:pStyle w:val="BodyText"/>
      </w:pPr>
      <w:r>
        <w:t xml:space="preserve">Shaw, K. A., Williams, S., Patrick, M. E., Valencia-Prado, M., Durkin, M. S., Howerton, E. M., Ladd-Acosta, C. M., Pas, E. T., Bakian, A. V., Bartholomew, P., Nieves-Muñoz, N., Sidwell, K., Alford, A., Bilder, D. A., DiRienzo, M., Fitzgerald, R. T., Furnier, S. M., Hudson, A. E., Pokoski, O. M., … Maenner, M. J. (2025). Prevalence and early identification of autism spectrum disorder among children aged 4 and 8 years — Autism and Developmental Disabilities Monitoring Network, 16 sites, United States, 2022.</w:t>
      </w:r>
      <w:r>
        <w:t xml:space="preserve"> </w:t>
      </w:r>
      <w:r>
        <w:rPr>
          <w:i/>
        </w:rPr>
        <w:t xml:space="preserve">MMWR Surveillance Summaries, 74</w:t>
      </w:r>
      <w:r>
        <w:t xml:space="preserve">(2), 1–22. https://doi.org/10.15585/mmwr.ss7402a1</w:t>
      </w:r>
    </w:p>
    <w:p>
      <w:pPr>
        <w:pStyle w:val="BodyText"/>
      </w:pPr>
      <w:r>
        <w:t xml:space="preserve">Smith, C. A., &amp; Ellsworth, P. C. (1985). Patterns of cognitive appraisal in emotion.</w:t>
      </w:r>
      <w:r>
        <w:t xml:space="preserve"> </w:t>
      </w:r>
      <w:r>
        <w:rPr>
          <w:i/>
        </w:rPr>
        <w:t xml:space="preserve">Journal of Personality and Social Psychology, 48</w:t>
      </w:r>
      <w:r>
        <w:t xml:space="preserve">(4), 813–838. https://doi.org/10.1037/0022-3514.48.4.813</w:t>
      </w:r>
    </w:p>
    <w:p>
      <w:pPr>
        <w:pStyle w:val="BodyText"/>
      </w:pPr>
      <w:r>
        <w:t xml:space="preserve">Sowa, M., &amp; Meulenbroek, R. (2012). Effects of physical exercise on autism spectrum disorders: A meta-analysis.</w:t>
      </w:r>
      <w:r>
        <w:t xml:space="preserve"> </w:t>
      </w:r>
      <w:r>
        <w:rPr>
          <w:i/>
        </w:rPr>
        <w:t xml:space="preserve">Research in Autism Spectrum Disorders, 6</w:t>
      </w:r>
      <w:r>
        <w:t xml:space="preserve">(1), 46–57. https://doi.org/10.1016/j.rasd.2011.09.001</w:t>
      </w:r>
    </w:p>
    <w:p>
      <w:pPr>
        <w:pStyle w:val="BodyText"/>
      </w:pPr>
      <w:r>
        <w:t xml:space="preserve">Spain, D., Milner, V., Mason, D., Iannelli, H., Attoe, C., Ampegama, R., Kenny, L., Saunders, A., Happé, F., &amp; Marshall-Tate, K. (2023). Improving cognitive behaviour therapy for autistic individuals: A Delphi survey with practitioners.</w:t>
      </w:r>
      <w:r>
        <w:t xml:space="preserve"> </w:t>
      </w:r>
      <w:r>
        <w:rPr>
          <w:i/>
        </w:rPr>
        <w:t xml:space="preserve">Journal of Rational-Emotive &amp; Cognitive-Behavior Therapy, 41</w:t>
      </w:r>
      <w:r>
        <w:t xml:space="preserve">(1), 45–63. https://doi.org/10.1007/s10942-022-00452-4</w:t>
      </w:r>
    </w:p>
    <w:p>
      <w:pPr>
        <w:pStyle w:val="BodyText"/>
      </w:pPr>
      <w:r>
        <w:t xml:space="preserve">Stephan, K. E., Manjaly, Z. M., Mathys, C. D., Weber, L. A. E., Paliwal, S., Gard, T., Tittgemeyer, M., Fleming, S. M., Haker, H., Seth, A. K., &amp; Petzschner, F. H. (2016). Allostatic self-efficacy: A metacognitive theory of dyshomeostasis-induced fatigue and depression.</w:t>
      </w:r>
      <w:r>
        <w:t xml:space="preserve"> </w:t>
      </w:r>
      <w:r>
        <w:rPr>
          <w:i/>
        </w:rPr>
        <w:t xml:space="preserve">Frontiers in Human Neuroscience, 10</w:t>
      </w:r>
      <w:r>
        <w:t xml:space="preserve">, 550. https://doi.org/10.3389/fnhum.2016.00550</w:t>
      </w:r>
    </w:p>
    <w:p>
      <w:pPr>
        <w:pStyle w:val="BodyText"/>
      </w:pPr>
      <w:r>
        <w:t xml:space="preserve">Sterling, P. (2012). Allostasis: A model of predictive regulation.</w:t>
      </w:r>
      <w:r>
        <w:t xml:space="preserve"> </w:t>
      </w:r>
      <w:r>
        <w:rPr>
          <w:i/>
        </w:rPr>
        <w:t xml:space="preserve">Physiology &amp; Behavior, 106</w:t>
      </w:r>
      <w:r>
        <w:t xml:space="preserve">(1), 5–15. https://doi.org/10.1016/j.physbeh.2011.06.004</w:t>
      </w:r>
    </w:p>
    <w:p>
      <w:pPr>
        <w:pStyle w:val="BodyText"/>
      </w:pPr>
      <w:r>
        <w:t xml:space="preserve">Sterzer, P., Adams, R. A., Fletcher, P., Frith, C., Lawrie, S. M., Muckli, L., Petrovic, P., Uhlhaas, P., Voss, M., &amp; Corlett, P. R. (2018). The predictive coding account of psychosis.</w:t>
      </w:r>
      <w:r>
        <w:t xml:space="preserve"> </w:t>
      </w:r>
      <w:r>
        <w:rPr>
          <w:i/>
        </w:rPr>
        <w:t xml:space="preserve">Biological Psychiatry, 84</w:t>
      </w:r>
      <w:r>
        <w:t xml:space="preserve">(9), 634–643. https://doi.org/10.1016/j.biopsych.2018.05.015</w:t>
      </w:r>
    </w:p>
    <w:p>
      <w:pPr>
        <w:pStyle w:val="BodyText"/>
      </w:pPr>
      <w:r>
        <w:t xml:space="preserve">Stott, R. (2007). When head and heart do not agree: A theoretical and clinical analysis of rational-emotional dissociation (RED) in cognitive therapy.</w:t>
      </w:r>
      <w:r>
        <w:t xml:space="preserve"> </w:t>
      </w:r>
      <w:r>
        <w:rPr>
          <w:i/>
        </w:rPr>
        <w:t xml:space="preserve">Journal of Cognitive Psychotherapy, 21</w:t>
      </w:r>
      <w:r>
        <w:t xml:space="preserve">(1), 37–50. https://doi.org/10.1891/088983907780493313</w:t>
      </w:r>
    </w:p>
    <w:p>
      <w:pPr>
        <w:pStyle w:val="BodyText"/>
      </w:pPr>
      <w:r>
        <w:t xml:space="preserve">Sun, Z., &amp; Firestone, C. (2020). The dark room problem.</w:t>
      </w:r>
      <w:r>
        <w:t xml:space="preserve"> </w:t>
      </w:r>
      <w:r>
        <w:rPr>
          <w:i/>
        </w:rPr>
        <w:t xml:space="preserve">Trends in Cognitive Sciences, 24</w:t>
      </w:r>
      <w:r>
        <w:t xml:space="preserve">(5), 346–348. https://doi.org/10.1016/j.tics.2020.02.006</w:t>
      </w:r>
    </w:p>
    <w:p>
      <w:pPr>
        <w:pStyle w:val="BodyText"/>
      </w:pPr>
      <w:r>
        <w:t xml:space="preserve">Taboas, A., Doepke, K., &amp; Zimmerman, C. (2023). Preferences for identity-first versus person-first language in a US sample of autism stakeholders.</w:t>
      </w:r>
      <w:r>
        <w:t xml:space="preserve"> </w:t>
      </w:r>
      <w:r>
        <w:rPr>
          <w:i/>
        </w:rPr>
        <w:t xml:space="preserve">Autism, 27</w:t>
      </w:r>
      <w:r>
        <w:t xml:space="preserve">(2), 565–570. https://doi.org/10.1177/13623613221130845</w:t>
      </w:r>
    </w:p>
    <w:p>
      <w:pPr>
        <w:pStyle w:val="BodyText"/>
      </w:pPr>
      <w:r>
        <w:t xml:space="preserve">Todorova, G. K., Hatton, R. E. M., Sadique, S., &amp; Pollick, F. E. (2024). The world is nuanced but pixelated: Autistic individuals’ perspective on HIPPEA.</w:t>
      </w:r>
      <w:r>
        <w:t xml:space="preserve"> </w:t>
      </w:r>
      <w:r>
        <w:rPr>
          <w:i/>
        </w:rPr>
        <w:t xml:space="preserve">Autism, 28</w:t>
      </w:r>
      <w:r>
        <w:t xml:space="preserve">(2), 498–509. https://doi.org/10.1177/13623613231176714</w:t>
      </w:r>
    </w:p>
    <w:p>
      <w:pPr>
        <w:pStyle w:val="BodyText"/>
      </w:pPr>
      <w:r>
        <w:t xml:space="preserve">Trinari, E., Noronha, N. J., Papola, D., Devji, T., Navarro, T., Kraus de Camargo, O., &amp; Iorio, A. (2026). Selective serotonin reuptake inhibitors for children with autism spectrum disorder: A systematic review and meta-analysis.</w:t>
      </w:r>
      <w:r>
        <w:t xml:space="preserve"> </w:t>
      </w:r>
      <w:r>
        <w:rPr>
          <w:i/>
        </w:rPr>
        <w:t xml:space="preserve">Clinical Medicine Insights: Pediatrics, 20</w:t>
      </w:r>
      <w:r>
        <w:t xml:space="preserve">, 11795565261442820. https://doi.org/10.1177/11795565261442820</w:t>
      </w:r>
    </w:p>
    <w:p>
      <w:pPr>
        <w:pStyle w:val="BodyText"/>
      </w:pPr>
      <w:r>
        <w:t xml:space="preserve">Tschantz, A., Barca, L., Maisto, D., Buckley, C. L., Seth, A. K., &amp; Pezzulo, G. (2022). Simulating homeostatic, allostatic and goal-directed forms of interoceptive control using active inference.</w:t>
      </w:r>
      <w:r>
        <w:t xml:space="preserve"> </w:t>
      </w:r>
      <w:r>
        <w:rPr>
          <w:i/>
        </w:rPr>
        <w:t xml:space="preserve">Biological Psychology, 169</w:t>
      </w:r>
      <w:r>
        <w:t xml:space="preserve">, 108266. https://doi.org/10.1016/j.biopsycho.2022.108266</w:t>
      </w:r>
    </w:p>
    <w:p>
      <w:pPr>
        <w:pStyle w:val="BodyText"/>
      </w:pPr>
      <w:r>
        <w:t xml:space="preserve">Unruh, K. E., McKinney, W. S., Bojanek, E. K., Fleming, K. K., Sweeney, J. A., &amp; Mosconi, M. W. (2021). Initial action output and feedback-guided motor behaviors in autism spectrum disorder.</w:t>
      </w:r>
      <w:r>
        <w:t xml:space="preserve"> </w:t>
      </w:r>
      <w:r>
        <w:rPr>
          <w:i/>
        </w:rPr>
        <w:t xml:space="preserve">Molecular Autism, 12</w:t>
      </w:r>
      <w:r>
        <w:t xml:space="preserve">(1), 52. https://doi.org/10.1186/s13229-021-00452-8</w:t>
      </w:r>
    </w:p>
    <w:p>
      <w:pPr>
        <w:pStyle w:val="BodyText"/>
      </w:pPr>
      <w:r>
        <w:t xml:space="preserve">Van de Cruys, S., Evers, K., Van der Hallen, R., Van Eylen, L., Boets, B., de-Wit, L., &amp; Wagemans, J. (2014). Precise minds in uncertain worlds: Predictive coding in autism.</w:t>
      </w:r>
      <w:r>
        <w:t xml:space="preserve"> </w:t>
      </w:r>
      <w:r>
        <w:rPr>
          <w:i/>
        </w:rPr>
        <w:t xml:space="preserve">Psychological Review, 121</w:t>
      </w:r>
      <w:r>
        <w:t xml:space="preserve">(4), 649–675. https://doi.org/10.1037/a0037665</w:t>
      </w:r>
    </w:p>
    <w:p>
      <w:pPr>
        <w:pStyle w:val="BodyText"/>
      </w:pPr>
      <w:r>
        <w:t xml:space="preserve">Van de Cruys, S., Friston, K. J., &amp; Clark, A. (2020). Controlled optimism: Reply to Sun and Firestone on the dark room problem.</w:t>
      </w:r>
      <w:r>
        <w:t xml:space="preserve"> </w:t>
      </w:r>
      <w:r>
        <w:rPr>
          <w:i/>
        </w:rPr>
        <w:t xml:space="preserve">Trends in Cognitive Sciences, 24</w:t>
      </w:r>
      <w:r>
        <w:t xml:space="preserve">(9), 680–681. https://doi.org/10.1016/j.tics.2020.05.012</w:t>
      </w:r>
    </w:p>
    <w:p>
      <w:pPr>
        <w:pStyle w:val="BodyText"/>
      </w:pPr>
      <w:r>
        <w:t xml:space="preserve">Wallace, M. T., &amp; Stevenson, R. A. (2014). The construct of the multisensory temporal binding window and its dysregulation in developmental disabilities.</w:t>
      </w:r>
      <w:r>
        <w:t xml:space="preserve"> </w:t>
      </w:r>
      <w:r>
        <w:rPr>
          <w:i/>
        </w:rPr>
        <w:t xml:space="preserve">Neuropsychologia, 64</w:t>
      </w:r>
      <w:r>
        <w:t xml:space="preserve">, 105–123. https://doi.org/10.1016/j.neuropsychologia.2014.08.005</w:t>
      </w:r>
    </w:p>
    <w:p>
      <w:pPr>
        <w:pStyle w:val="BodyText"/>
      </w:pPr>
      <w:r>
        <w:t xml:space="preserve">Wang, Z., Kwon, M., Mohanty, S., Schmitt, L. M., White, S. P., Christou, E. A., &amp; Mosconi, M. W. (2017). Increased force variability is associated with altered modulation of the motorneuron pool activity in autism spectrum disorder (ASD).</w:t>
      </w:r>
      <w:r>
        <w:t xml:space="preserve"> </w:t>
      </w:r>
      <w:r>
        <w:rPr>
          <w:i/>
        </w:rPr>
        <w:t xml:space="preserve">International Journal of Molecular Sciences, 18</w:t>
      </w:r>
      <w:r>
        <w:t xml:space="preserve">(4), 698. https://doi.org/10.3390/ijms18040698</w:t>
      </w:r>
    </w:p>
    <w:p>
      <w:pPr>
        <w:pStyle w:val="BodyText"/>
      </w:pPr>
      <w:r>
        <w:t xml:space="preserve">Wang, Z., Magnon, G. C., White, S. P., Greene, R. K., Vaillancourt, D. E., &amp; Mosconi, M. W. (2015). Individuals with autism spectrum disorder show abnormalities during initial and subsequent phases of precision gripping.</w:t>
      </w:r>
      <w:r>
        <w:t xml:space="preserve"> </w:t>
      </w:r>
      <w:r>
        <w:rPr>
          <w:i/>
        </w:rPr>
        <w:t xml:space="preserve">Journal of Neurophysiology, 113</w:t>
      </w:r>
      <w:r>
        <w:t xml:space="preserve">(7), 1989–2001. https://doi.org/10.1152/jn.00661.2014</w:t>
      </w:r>
    </w:p>
    <w:p>
      <w:pPr>
        <w:pStyle w:val="BodyText"/>
      </w:pPr>
      <w:r>
        <w:t xml:space="preserve">Watkins, E. R., &amp; Roberts, H. (2020). Reflecting on rumination: Consequences, causes, mechanisms and treatment of rumination.</w:t>
      </w:r>
      <w:r>
        <w:t xml:space="preserve"> </w:t>
      </w:r>
      <w:r>
        <w:rPr>
          <w:i/>
        </w:rPr>
        <w:t xml:space="preserve">Behaviour Research and Therapy, 127</w:t>
      </w:r>
      <w:r>
        <w:t xml:space="preserve">, 103573. https://doi.org/10.1016/j.brat.2020.103573</w:t>
      </w:r>
    </w:p>
    <w:p>
      <w:pPr>
        <w:pStyle w:val="BodyText"/>
      </w:pPr>
      <w:r>
        <w:t xml:space="preserve">Weitlauf, A. S., Sathe, N., McPheeters, M. L., &amp; Warren, Z. E. (2017). Interventions targeting sensory challenges in autism spectrum disorder: A systematic review.</w:t>
      </w:r>
      <w:r>
        <w:t xml:space="preserve"> </w:t>
      </w:r>
      <w:r>
        <w:rPr>
          <w:i/>
        </w:rPr>
        <w:t xml:space="preserve">Pediatrics, 139</w:t>
      </w:r>
      <w:r>
        <w:t xml:space="preserve">(6), e20170347. https://doi.org/10.1542/peds.2017-0347</w:t>
      </w:r>
    </w:p>
    <w:p>
      <w:pPr>
        <w:pStyle w:val="BodyText"/>
      </w:pPr>
      <w:r>
        <w:t xml:space="preserve">Weston, L., Hodgekins, J., &amp; Langdon, P. E. (2016). Effectiveness of cognitive behavioural therapy with people who have autistic spectrum disorders: A systematic review and meta-analysis.</w:t>
      </w:r>
      <w:r>
        <w:t xml:space="preserve"> </w:t>
      </w:r>
      <w:r>
        <w:rPr>
          <w:i/>
        </w:rPr>
        <w:t xml:space="preserve">Clinical Psychology Review, 49</w:t>
      </w:r>
      <w:r>
        <w:t xml:space="preserve">, 41–54. https://doi.org/10.1016/j.cpr.2016.08.001</w:t>
      </w:r>
    </w:p>
    <w:p>
      <w:pPr>
        <w:pStyle w:val="BodyText"/>
      </w:pPr>
      <w:r>
        <w:t xml:space="preserve">Wiener, N. (1948).</w:t>
      </w:r>
      <w:r>
        <w:t xml:space="preserve"> </w:t>
      </w:r>
      <w:r>
        <w:rPr>
          <w:i/>
        </w:rPr>
        <w:t xml:space="preserve">Cybernetics: Or control and communication in the animal and the machine</w:t>
      </w:r>
      <w:r>
        <w:t xml:space="preserve">. MIT Press.</w:t>
      </w:r>
    </w:p>
    <w:p>
      <w:pPr>
        <w:pStyle w:val="BodyText"/>
      </w:pPr>
      <w:r>
        <w:t xml:space="preserve">Williams, K., Brignell, A., Randall, M., Silove, N., &amp; Hazell, P. (2013). Selective serotonin reuptake inhibitors (SSRIs) for autism spectrum disorders (ASD).</w:t>
      </w:r>
      <w:r>
        <w:t xml:space="preserve"> </w:t>
      </w:r>
      <w:r>
        <w:rPr>
          <w:i/>
        </w:rPr>
        <w:t xml:space="preserve">Cochrane Database of Systematic Reviews, 8</w:t>
      </w:r>
      <w:r>
        <w:t xml:space="preserve">, CD004677. https://doi.org/10.1002/14651858.CD004677.pub3</w:t>
      </w:r>
    </w:p>
    <w:p>
      <w:pPr>
        <w:pStyle w:val="BodyText"/>
      </w:pPr>
      <w:r>
        <w:t xml:space="preserve">Wonham, W. M. (1968). On the separation theorem of stochastic control.</w:t>
      </w:r>
      <w:r>
        <w:t xml:space="preserve"> </w:t>
      </w:r>
      <w:r>
        <w:rPr>
          <w:i/>
        </w:rPr>
        <w:t xml:space="preserve">SIAM Journal on Control, 6</w:t>
      </w:r>
      <w:r>
        <w:t xml:space="preserve">(2), 312–326. https://doi.org/10.1137/0306023</w:t>
      </w:r>
    </w:p>
    <w:p>
      <w:pPr>
        <w:pStyle w:val="BodyText"/>
      </w:pPr>
      <w:r>
        <w:t xml:space="preserve">Yu, A. J., &amp; Dayan, P. (2005). Uncertainty, neuromodulation, and attention.</w:t>
      </w:r>
      <w:r>
        <w:t xml:space="preserve"> </w:t>
      </w:r>
      <w:r>
        <w:rPr>
          <w:i/>
        </w:rPr>
        <w:t xml:space="preserve">Neuron, 46</w:t>
      </w:r>
      <w:r>
        <w:t xml:space="preserve">(4), 681–692. https://doi.org/10.1016/j.neuron.2005.04.026</w:t>
      </w:r>
    </w:p>
    <w:p>
      <w:pPr>
        <w:pStyle w:val="BodyText"/>
      </w:pPr>
      <w:r>
        <w:t xml:space="preserve">Zaidman-Zait, A., Hollocks, M. J., Kerns, C. M., Magiati, I., McVey, A. J., Smith, I. M., Bedford, R., Bennett, T., Duku, E., Georgiades, S., Richard, A., Vaillancourt, T., &amp; Zwaigenbaum, L. (2025). Bridging the gap: Unveiling key links between autism and anxiety symptoms in autistic children and youth using a network analysis in pooled data from four countries.</w:t>
      </w:r>
      <w:r>
        <w:t xml:space="preserve"> </w:t>
      </w:r>
      <w:r>
        <w:rPr>
          <w:i/>
        </w:rPr>
        <w:t xml:space="preserve">Child and Adolescent Mental Health, 30</w:t>
      </w:r>
      <w:r>
        <w:t xml:space="preserve">(4), 327–342. https://doi.org/10.1111/camh.70026</w:t>
      </w:r>
    </w:p>
    <w:p>
      <w:pPr>
        <w:pStyle w:val="BodyText"/>
      </w:pPr>
      <w:r>
        <w:t xml:space="preserve">Zhou, H. Y., Cai, X. L., Weigl, M., Bang, P., Cheung, E. F. C., &amp; Chan, R. C. K. (2018). Multisensory temporal binding window in autism spectrum disorders and schizophrenia spectrum disorders: A systematic review and meta-analysis.</w:t>
      </w:r>
      <w:r>
        <w:t xml:space="preserve"> </w:t>
      </w:r>
      <w:r>
        <w:rPr>
          <w:i/>
        </w:rPr>
        <w:t xml:space="preserve">Neuroscience &amp; Biobehavioral Reviews, 86</w:t>
      </w:r>
      <w:r>
        <w:t xml:space="preserve">, 66–76. https://doi.org/10.1016/j.neubiorev.2017.12.013</w:t>
      </w:r>
    </w:p>
    <w:p>
      <w:pPr>
        <w:pStyle w:val="BodyText"/>
      </w:pPr>
      <w:r>
        <w:t xml:space="preserve">Zhou, H. Y., Lai, I. Y. S., Hung, K. S. Y., Chan, M. K. M., Ho, Z. T. Y., Lam, J. P. H., Lui, S. S. Y., &amp; Chan, R. C. K. (2022). Audiovisual temporal processing in adult patients with first-episode schizophrenia and high-functioning autism.</w:t>
      </w:r>
      <w:r>
        <w:t xml:space="preserve"> </w:t>
      </w:r>
      <w:r>
        <w:rPr>
          <w:i/>
        </w:rPr>
        <w:t xml:space="preserve">Schizophrenia, 8</w:t>
      </w:r>
      <w:r>
        <w:t xml:space="preserve">(1), 75. https://doi.org/10.1038/s41537-022-00284-2</w:t>
      </w:r>
    </w:p>
    <w:p>
      <w:pPr>
        <w:pStyle w:val="BodyText"/>
      </w:pPr>
      <w:r>
        <w:t xml:space="preserve">Zimmerman, C. A., Leib, D. E., &amp; Knight, Z. A. (2017). Neural circuits underlying thirst and fluid homeostasis.</w:t>
      </w:r>
      <w:r>
        <w:t xml:space="preserve"> </w:t>
      </w:r>
      <w:r>
        <w:rPr>
          <w:i/>
        </w:rPr>
        <w:t xml:space="preserve">Nature Reviews Neuroscience, 18</w:t>
      </w:r>
      <w:r>
        <w:t xml:space="preserve">(8), 459–469. https://doi.org/10.1038/nrn.2017.71</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51">
    <w:p>
      <w:pPr>
        <w:pStyle w:val="FootnoteText"/>
      </w:pPr>
      <w:r>
        <w:rPr>
          <w:rStyle w:val="FootnoteReference"/>
        </w:rPr>
        <w:footnoteRef/>
      </w:r>
      <w:r>
        <w:t xml:space="preserve"> </w:t>
      </w:r>
      <w:r>
        <w:t xml:space="preserve">Wiener’s vocabulary escaped into the popular market fast. Maxwell Maltz’s</w:t>
      </w:r>
      <w:r>
        <w:t xml:space="preserve"> </w:t>
      </w:r>
      <w:r>
        <w:rPr>
          <w:i/>
        </w:rPr>
        <w:t xml:space="preserve">Psycho-Cybernetics</w:t>
      </w:r>
      <w:r>
        <w:t xml:space="preserve"> </w:t>
      </w:r>
      <w:r>
        <w:t xml:space="preserve">(1960) borrowed it for a self-help program and sold more than thirty million copies, which is why the word still sounds like a paperback to many clinicians. Appendix A works through where that book was right, where it was missing an estimator, and how it became the source of the false twenty-one-day habit rule.</w:t>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4" Target="media/rId34.png" /><Relationship Type="http://schemas.openxmlformats.org/officeDocument/2006/relationships/image" Id="rId45" Target="media/rId45.png" /><Relationship Type="http://schemas.openxmlformats.org/officeDocument/2006/relationships/image" Id="rId46" Target="media/rId46.png" /><Relationship Type="http://schemas.openxmlformats.org/officeDocument/2006/relationships/image" Id="rId57" Target="media/rId57.png" /><Relationship Type="http://schemas.openxmlformats.org/officeDocument/2006/relationships/image" Id="rId59" Target="media/rId59.png" /><Relationship Type="http://schemas.openxmlformats.org/officeDocument/2006/relationships/image" Id="rId55" Target="media/rId55.png" /><Relationship Type="http://schemas.openxmlformats.org/officeDocument/2006/relationships/image" Id="rId65" Target="media/rId65.png" /><Relationship Type="http://schemas.openxmlformats.org/officeDocument/2006/relationships/image" Id="rId71" Target="media/rId71.png" /><Relationship Type="http://schemas.openxmlformats.org/officeDocument/2006/relationships/image" Id="rId112" Target="media/rId112.png" /><Relationship Type="http://schemas.openxmlformats.org/officeDocument/2006/relationships/image" Id="rId113" Target="media/rId113.png" /><Relationship Type="http://schemas.openxmlformats.org/officeDocument/2006/relationships/image" Id="rId122" Target="media/rId122.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Prediction, Control, and the Regulating Mind</dc:title>
  <dc:creator>Dr. Greg Moody</dc:creator>
  <cp:keywords/>
  <dcterms:created xsi:type="dcterms:W3CDTF">2026-08-18T05:16:00Z</dcterms:created>
  <dcterms:modified xsi:type="dcterms:W3CDTF">2026-08-18T05:16:00Z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August 13, 2026</vt:lpwstr>
  </property>
  <property fmtid="{D5CDD505-2E9C-101B-9397-08002B2CF9AE}" pid="3" name="subtitle">
    <vt:lpwstr>A Clinician’s Framework for Autism, Stimming, and Emotional Regulation</vt:lpwstr>
  </property>
</Properties>
</file>